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9A9" w:rsidRPr="00997D7E" w:rsidRDefault="00DC5E86" w:rsidP="00555F14">
      <w:pPr>
        <w:pStyle w:val="Title"/>
        <w:jc w:val="center"/>
        <w:rPr>
          <w:rFonts w:ascii="Arial" w:hAnsi="Arial" w:cs="Arial"/>
          <w:b/>
          <w:color w:val="auto"/>
        </w:rPr>
      </w:pPr>
      <w:bookmarkStart w:id="0" w:name="_GoBack"/>
      <w:bookmarkEnd w:id="0"/>
      <w:r w:rsidRPr="00997D7E">
        <w:rPr>
          <w:rFonts w:ascii="Arial" w:hAnsi="Arial" w:cs="Arial"/>
          <w:b/>
          <w:color w:val="auto"/>
        </w:rPr>
        <w:t>Manual of Operations on Internationalization</w:t>
      </w:r>
    </w:p>
    <w:p w:rsidR="002872D6" w:rsidRPr="002872D6" w:rsidRDefault="002872D6" w:rsidP="002872D6">
      <w:pPr>
        <w:pStyle w:val="Heading1"/>
        <w:jc w:val="center"/>
        <w:rPr>
          <w:rFonts w:ascii="Arial" w:hAnsi="Arial" w:cs="Arial"/>
          <w:b w:val="0"/>
          <w:color w:val="auto"/>
          <w:sz w:val="24"/>
          <w:szCs w:val="24"/>
        </w:rPr>
      </w:pPr>
      <w:proofErr w:type="gramStart"/>
      <w:r w:rsidRPr="002872D6">
        <w:rPr>
          <w:rFonts w:ascii="Arial" w:hAnsi="Arial" w:cs="Arial"/>
          <w:b w:val="0"/>
          <w:color w:val="auto"/>
          <w:sz w:val="24"/>
          <w:szCs w:val="24"/>
        </w:rPr>
        <w:t>by</w:t>
      </w:r>
      <w:proofErr w:type="gramEnd"/>
      <w:r w:rsidRPr="002872D6">
        <w:rPr>
          <w:rFonts w:ascii="Arial" w:hAnsi="Arial" w:cs="Arial"/>
          <w:b w:val="0"/>
          <w:color w:val="auto"/>
          <w:sz w:val="24"/>
          <w:szCs w:val="24"/>
        </w:rPr>
        <w:t>:</w:t>
      </w:r>
    </w:p>
    <w:p w:rsidR="002872D6" w:rsidRPr="002872D6" w:rsidRDefault="002872D6" w:rsidP="002872D6">
      <w:pPr>
        <w:jc w:val="center"/>
        <w:rPr>
          <w:rFonts w:ascii="Arial" w:hAnsi="Arial" w:cs="Arial"/>
          <w:sz w:val="28"/>
          <w:szCs w:val="28"/>
        </w:rPr>
      </w:pPr>
    </w:p>
    <w:p w:rsidR="002872D6" w:rsidRPr="002872D6" w:rsidRDefault="002872D6" w:rsidP="002872D6">
      <w:pPr>
        <w:pStyle w:val="NoSpacing"/>
        <w:jc w:val="center"/>
        <w:rPr>
          <w:rFonts w:ascii="Arial" w:hAnsi="Arial" w:cs="Arial"/>
          <w:sz w:val="28"/>
          <w:szCs w:val="28"/>
        </w:rPr>
      </w:pPr>
      <w:r w:rsidRPr="002872D6">
        <w:rPr>
          <w:rFonts w:ascii="Arial" w:hAnsi="Arial" w:cs="Arial"/>
          <w:sz w:val="28"/>
          <w:szCs w:val="28"/>
        </w:rPr>
        <w:t xml:space="preserve">Bryan </w:t>
      </w:r>
      <w:proofErr w:type="spellStart"/>
      <w:r>
        <w:rPr>
          <w:rFonts w:ascii="Arial" w:hAnsi="Arial" w:cs="Arial"/>
          <w:sz w:val="28"/>
          <w:szCs w:val="28"/>
        </w:rPr>
        <w:t>Llyod</w:t>
      </w:r>
      <w:proofErr w:type="spellEnd"/>
      <w:r>
        <w:rPr>
          <w:rFonts w:ascii="Arial" w:hAnsi="Arial" w:cs="Arial"/>
          <w:sz w:val="28"/>
          <w:szCs w:val="28"/>
        </w:rPr>
        <w:t xml:space="preserve"> P. </w:t>
      </w:r>
      <w:proofErr w:type="spellStart"/>
      <w:r w:rsidRPr="002872D6">
        <w:rPr>
          <w:rFonts w:ascii="Arial" w:hAnsi="Arial" w:cs="Arial"/>
          <w:sz w:val="28"/>
          <w:szCs w:val="28"/>
        </w:rPr>
        <w:t>Bretaṅa</w:t>
      </w:r>
      <w:proofErr w:type="spellEnd"/>
    </w:p>
    <w:p w:rsidR="002872D6" w:rsidRPr="002872D6" w:rsidRDefault="002872D6" w:rsidP="002872D6">
      <w:pPr>
        <w:pStyle w:val="NoSpacing"/>
        <w:jc w:val="center"/>
        <w:rPr>
          <w:rFonts w:ascii="Arial" w:hAnsi="Arial" w:cs="Arial"/>
          <w:sz w:val="28"/>
          <w:szCs w:val="28"/>
        </w:rPr>
      </w:pPr>
      <w:r w:rsidRPr="002872D6">
        <w:rPr>
          <w:rFonts w:ascii="Arial" w:hAnsi="Arial" w:cs="Arial"/>
          <w:sz w:val="28"/>
          <w:szCs w:val="28"/>
        </w:rPr>
        <w:t>Director</w:t>
      </w:r>
    </w:p>
    <w:p w:rsidR="002872D6" w:rsidRPr="002872D6" w:rsidRDefault="002872D6" w:rsidP="002872D6">
      <w:pPr>
        <w:pStyle w:val="NoSpacing"/>
        <w:jc w:val="center"/>
        <w:rPr>
          <w:rFonts w:ascii="Arial" w:hAnsi="Arial" w:cs="Arial"/>
          <w:sz w:val="28"/>
          <w:szCs w:val="28"/>
        </w:rPr>
      </w:pPr>
      <w:r w:rsidRPr="002872D6">
        <w:rPr>
          <w:rFonts w:ascii="Arial" w:hAnsi="Arial" w:cs="Arial"/>
          <w:sz w:val="28"/>
          <w:szCs w:val="28"/>
        </w:rPr>
        <w:t>Office of International Affairs</w:t>
      </w:r>
    </w:p>
    <w:p w:rsidR="002872D6" w:rsidRPr="002872D6" w:rsidRDefault="002872D6" w:rsidP="002872D6">
      <w:pPr>
        <w:jc w:val="center"/>
        <w:rPr>
          <w:rFonts w:ascii="Arial" w:hAnsi="Arial" w:cs="Arial"/>
          <w:sz w:val="28"/>
          <w:szCs w:val="28"/>
        </w:rPr>
      </w:pPr>
    </w:p>
    <w:p w:rsidR="003059A9" w:rsidRDefault="00DC5E86">
      <w:pPr>
        <w:pStyle w:val="Heading1"/>
        <w:rPr>
          <w:rFonts w:ascii="Arial" w:hAnsi="Arial" w:cs="Arial"/>
          <w:color w:val="auto"/>
          <w:sz w:val="24"/>
          <w:szCs w:val="24"/>
        </w:rPr>
      </w:pPr>
      <w:r w:rsidRPr="00997D7E">
        <w:rPr>
          <w:rFonts w:ascii="Arial" w:hAnsi="Arial" w:cs="Arial"/>
          <w:color w:val="auto"/>
          <w:sz w:val="24"/>
          <w:szCs w:val="24"/>
        </w:rPr>
        <w:t>I. Introduction</w:t>
      </w:r>
    </w:p>
    <w:p w:rsidR="00997D7E" w:rsidRPr="00997D7E" w:rsidRDefault="00997D7E" w:rsidP="00997D7E"/>
    <w:p w:rsidR="003059A9" w:rsidRPr="00997D7E" w:rsidRDefault="00DC5E86" w:rsidP="00997D7E">
      <w:pPr>
        <w:jc w:val="both"/>
        <w:rPr>
          <w:rFonts w:ascii="Arial" w:hAnsi="Arial" w:cs="Arial"/>
          <w:sz w:val="24"/>
          <w:szCs w:val="24"/>
        </w:rPr>
      </w:pPr>
      <w:r w:rsidRPr="00997D7E">
        <w:rPr>
          <w:rFonts w:ascii="Arial" w:hAnsi="Arial" w:cs="Arial"/>
          <w:sz w:val="24"/>
          <w:szCs w:val="24"/>
        </w:rPr>
        <w:t>Internationalization is a strategic approach that integrates global dimensions into the university’s teaching, research, extension, and governance. This manual provides guidelines, policies, and operational procedures to ensure systematic, inclusive, and sustainable implementation of internationalization initiatives.</w:t>
      </w:r>
    </w:p>
    <w:p w:rsidR="003059A9" w:rsidRPr="00997D7E" w:rsidRDefault="00DC5E86">
      <w:pPr>
        <w:pStyle w:val="Heading1"/>
        <w:rPr>
          <w:rFonts w:ascii="Arial" w:hAnsi="Arial" w:cs="Arial"/>
          <w:color w:val="auto"/>
          <w:sz w:val="24"/>
          <w:szCs w:val="24"/>
        </w:rPr>
      </w:pPr>
      <w:r w:rsidRPr="00997D7E">
        <w:rPr>
          <w:rFonts w:ascii="Arial" w:hAnsi="Arial" w:cs="Arial"/>
          <w:color w:val="auto"/>
          <w:sz w:val="24"/>
          <w:szCs w:val="24"/>
        </w:rPr>
        <w:t>II. Vision, Mission, and Objectives</w:t>
      </w:r>
    </w:p>
    <w:p w:rsidR="003059A9" w:rsidRPr="00997D7E" w:rsidRDefault="00DC5E86">
      <w:pPr>
        <w:pStyle w:val="Heading2"/>
        <w:rPr>
          <w:rFonts w:ascii="Arial" w:hAnsi="Arial" w:cs="Arial"/>
          <w:color w:val="auto"/>
          <w:sz w:val="24"/>
          <w:szCs w:val="24"/>
        </w:rPr>
      </w:pPr>
      <w:r w:rsidRPr="00997D7E">
        <w:rPr>
          <w:rFonts w:ascii="Arial" w:hAnsi="Arial" w:cs="Arial"/>
          <w:color w:val="auto"/>
          <w:sz w:val="24"/>
          <w:szCs w:val="24"/>
        </w:rPr>
        <w:t>Vision</w:t>
      </w:r>
    </w:p>
    <w:p w:rsidR="003059A9" w:rsidRPr="00997D7E" w:rsidRDefault="00DC5E86">
      <w:pPr>
        <w:rPr>
          <w:rFonts w:ascii="Arial" w:hAnsi="Arial" w:cs="Arial"/>
          <w:sz w:val="24"/>
          <w:szCs w:val="24"/>
        </w:rPr>
      </w:pPr>
      <w:r w:rsidRPr="00997D7E">
        <w:rPr>
          <w:rFonts w:ascii="Arial" w:hAnsi="Arial" w:cs="Arial"/>
          <w:sz w:val="24"/>
          <w:szCs w:val="24"/>
        </w:rPr>
        <w:t>To be a globally recognized State University that fosters international collaboration, intercultural learning, and research excellence.</w:t>
      </w:r>
    </w:p>
    <w:p w:rsidR="003059A9" w:rsidRPr="00997D7E" w:rsidRDefault="00DC5E86">
      <w:pPr>
        <w:pStyle w:val="Heading2"/>
        <w:rPr>
          <w:rFonts w:ascii="Arial" w:hAnsi="Arial" w:cs="Arial"/>
          <w:color w:val="auto"/>
          <w:sz w:val="24"/>
          <w:szCs w:val="24"/>
        </w:rPr>
      </w:pPr>
      <w:r w:rsidRPr="00997D7E">
        <w:rPr>
          <w:rFonts w:ascii="Arial" w:hAnsi="Arial" w:cs="Arial"/>
          <w:color w:val="auto"/>
          <w:sz w:val="24"/>
          <w:szCs w:val="24"/>
        </w:rPr>
        <w:t>Mission</w:t>
      </w:r>
    </w:p>
    <w:p w:rsidR="003059A9" w:rsidRPr="00997D7E" w:rsidRDefault="00DC5E86">
      <w:pPr>
        <w:rPr>
          <w:rFonts w:ascii="Arial" w:hAnsi="Arial" w:cs="Arial"/>
          <w:sz w:val="24"/>
          <w:szCs w:val="24"/>
        </w:rPr>
      </w:pPr>
      <w:r w:rsidRPr="00997D7E">
        <w:rPr>
          <w:rFonts w:ascii="Arial" w:hAnsi="Arial" w:cs="Arial"/>
          <w:sz w:val="24"/>
          <w:szCs w:val="24"/>
        </w:rPr>
        <w:t>To provide accessible and quality education, research, and extension services enriched by international perspectives and partnerships.</w:t>
      </w:r>
    </w:p>
    <w:p w:rsidR="003059A9" w:rsidRPr="00997D7E" w:rsidRDefault="00DC5E86">
      <w:pPr>
        <w:pStyle w:val="Heading2"/>
        <w:rPr>
          <w:rFonts w:ascii="Arial" w:hAnsi="Arial" w:cs="Arial"/>
          <w:sz w:val="24"/>
          <w:szCs w:val="24"/>
        </w:rPr>
      </w:pPr>
      <w:r w:rsidRPr="00997D7E">
        <w:rPr>
          <w:rFonts w:ascii="Arial" w:hAnsi="Arial" w:cs="Arial"/>
          <w:color w:val="auto"/>
          <w:sz w:val="24"/>
          <w:szCs w:val="24"/>
        </w:rPr>
        <w:t>Objectives</w:t>
      </w:r>
    </w:p>
    <w:p w:rsidR="003059A9" w:rsidRPr="00997D7E" w:rsidRDefault="00DC5E86">
      <w:pPr>
        <w:rPr>
          <w:rFonts w:ascii="Arial" w:hAnsi="Arial" w:cs="Arial"/>
          <w:sz w:val="24"/>
          <w:szCs w:val="24"/>
        </w:rPr>
      </w:pPr>
      <w:r w:rsidRPr="00997D7E">
        <w:rPr>
          <w:rFonts w:ascii="Arial" w:hAnsi="Arial" w:cs="Arial"/>
          <w:sz w:val="24"/>
          <w:szCs w:val="24"/>
        </w:rPr>
        <w:t>1. Strengthen global partnerships and linkages.</w:t>
      </w:r>
      <w:r w:rsidRPr="00997D7E">
        <w:rPr>
          <w:rFonts w:ascii="Arial" w:hAnsi="Arial" w:cs="Arial"/>
          <w:sz w:val="24"/>
          <w:szCs w:val="24"/>
        </w:rPr>
        <w:br/>
        <w:t>2. Promote mobility of students, faculty, and staff.</w:t>
      </w:r>
      <w:r w:rsidRPr="00997D7E">
        <w:rPr>
          <w:rFonts w:ascii="Arial" w:hAnsi="Arial" w:cs="Arial"/>
          <w:sz w:val="24"/>
          <w:szCs w:val="24"/>
        </w:rPr>
        <w:br/>
        <w:t>3. Integrate international perspectives into curriculum and research.</w:t>
      </w:r>
      <w:r w:rsidRPr="00997D7E">
        <w:rPr>
          <w:rFonts w:ascii="Arial" w:hAnsi="Arial" w:cs="Arial"/>
          <w:sz w:val="24"/>
          <w:szCs w:val="24"/>
        </w:rPr>
        <w:br/>
        <w:t>4. Enhance institutional capacity through global benchmarking.</w:t>
      </w:r>
      <w:r w:rsidRPr="00997D7E">
        <w:rPr>
          <w:rFonts w:ascii="Arial" w:hAnsi="Arial" w:cs="Arial"/>
          <w:sz w:val="24"/>
          <w:szCs w:val="24"/>
        </w:rPr>
        <w:br/>
        <w:t>5. Foster intercultural competence and global citizenship among stakeholders.</w:t>
      </w:r>
    </w:p>
    <w:p w:rsidR="003059A9" w:rsidRPr="00997D7E" w:rsidRDefault="00DC5E86">
      <w:pPr>
        <w:pStyle w:val="Heading1"/>
        <w:rPr>
          <w:rFonts w:ascii="Arial" w:hAnsi="Arial" w:cs="Arial"/>
          <w:color w:val="auto"/>
          <w:sz w:val="24"/>
          <w:szCs w:val="24"/>
        </w:rPr>
      </w:pPr>
      <w:r w:rsidRPr="00997D7E">
        <w:rPr>
          <w:rFonts w:ascii="Arial" w:hAnsi="Arial" w:cs="Arial"/>
          <w:color w:val="auto"/>
          <w:sz w:val="24"/>
          <w:szCs w:val="24"/>
        </w:rPr>
        <w:lastRenderedPageBreak/>
        <w:t>III. Guiding Principles</w:t>
      </w:r>
    </w:p>
    <w:p w:rsidR="003059A9" w:rsidRPr="00997D7E" w:rsidRDefault="00DC5E86">
      <w:pPr>
        <w:rPr>
          <w:rFonts w:ascii="Arial" w:hAnsi="Arial" w:cs="Arial"/>
          <w:sz w:val="24"/>
          <w:szCs w:val="24"/>
        </w:rPr>
      </w:pPr>
      <w:r w:rsidRPr="00997D7E">
        <w:rPr>
          <w:rFonts w:ascii="Arial" w:hAnsi="Arial" w:cs="Arial"/>
          <w:sz w:val="24"/>
          <w:szCs w:val="24"/>
        </w:rPr>
        <w:t>• Inclusivity and Equity – International opportunities are accessible to all.</w:t>
      </w:r>
      <w:r w:rsidRPr="00997D7E">
        <w:rPr>
          <w:rFonts w:ascii="Arial" w:hAnsi="Arial" w:cs="Arial"/>
          <w:sz w:val="24"/>
          <w:szCs w:val="24"/>
        </w:rPr>
        <w:br/>
        <w:t>• Reciprocity – Partnerships must provide mutual benefits.</w:t>
      </w:r>
      <w:r w:rsidRPr="00997D7E">
        <w:rPr>
          <w:rFonts w:ascii="Arial" w:hAnsi="Arial" w:cs="Arial"/>
          <w:sz w:val="24"/>
          <w:szCs w:val="24"/>
        </w:rPr>
        <w:br/>
        <w:t xml:space="preserve">• Quality Assurance – International engagements align with CHED, ISO, </w:t>
      </w:r>
      <w:r w:rsidR="00997D7E">
        <w:rPr>
          <w:rFonts w:ascii="Arial" w:hAnsi="Arial" w:cs="Arial"/>
          <w:sz w:val="24"/>
          <w:szCs w:val="24"/>
        </w:rPr>
        <w:t xml:space="preserve">AUN </w:t>
      </w:r>
      <w:r w:rsidRPr="00997D7E">
        <w:rPr>
          <w:rFonts w:ascii="Arial" w:hAnsi="Arial" w:cs="Arial"/>
          <w:sz w:val="24"/>
          <w:szCs w:val="24"/>
        </w:rPr>
        <w:t>and global standards.</w:t>
      </w:r>
      <w:r w:rsidRPr="00997D7E">
        <w:rPr>
          <w:rFonts w:ascii="Arial" w:hAnsi="Arial" w:cs="Arial"/>
          <w:sz w:val="24"/>
          <w:szCs w:val="24"/>
        </w:rPr>
        <w:br/>
        <w:t>• Sustainability – Programs must be financially and institutionally sustainable.</w:t>
      </w:r>
      <w:r w:rsidRPr="00997D7E">
        <w:rPr>
          <w:rFonts w:ascii="Arial" w:hAnsi="Arial" w:cs="Arial"/>
          <w:sz w:val="24"/>
          <w:szCs w:val="24"/>
        </w:rPr>
        <w:br/>
        <w:t>• Academic Freedom and Integrity – Respect for institutional values and ethical standards.</w:t>
      </w:r>
    </w:p>
    <w:p w:rsidR="003059A9" w:rsidRDefault="00DC5E86">
      <w:pPr>
        <w:pStyle w:val="Heading1"/>
        <w:rPr>
          <w:rFonts w:ascii="Arial" w:hAnsi="Arial" w:cs="Arial"/>
          <w:color w:val="auto"/>
          <w:sz w:val="24"/>
          <w:szCs w:val="24"/>
        </w:rPr>
      </w:pPr>
      <w:r w:rsidRPr="00997D7E">
        <w:rPr>
          <w:rFonts w:ascii="Arial" w:hAnsi="Arial" w:cs="Arial"/>
          <w:color w:val="auto"/>
          <w:sz w:val="24"/>
          <w:szCs w:val="24"/>
        </w:rPr>
        <w:t>IV. Organizational Structure</w:t>
      </w:r>
    </w:p>
    <w:p w:rsidR="00997D7E" w:rsidRPr="00997D7E" w:rsidRDefault="00997D7E" w:rsidP="00997D7E"/>
    <w:p w:rsidR="003059A9" w:rsidRPr="00997D7E" w:rsidRDefault="00DC5E86">
      <w:pPr>
        <w:rPr>
          <w:rFonts w:ascii="Arial" w:hAnsi="Arial" w:cs="Arial"/>
          <w:sz w:val="24"/>
          <w:szCs w:val="24"/>
        </w:rPr>
      </w:pPr>
      <w:r w:rsidRPr="00997D7E">
        <w:rPr>
          <w:rFonts w:ascii="Arial" w:hAnsi="Arial" w:cs="Arial"/>
          <w:sz w:val="24"/>
          <w:szCs w:val="24"/>
        </w:rPr>
        <w:t>1. Office of International Affairs (OIA) – Oversees and implements internationalization programs.</w:t>
      </w:r>
      <w:r w:rsidRPr="00997D7E">
        <w:rPr>
          <w:rFonts w:ascii="Arial" w:hAnsi="Arial" w:cs="Arial"/>
          <w:sz w:val="24"/>
          <w:szCs w:val="24"/>
        </w:rPr>
        <w:br/>
        <w:t>2. Internationalization Committee – Policy review, monitoring, and coordination.</w:t>
      </w:r>
      <w:r w:rsidRPr="00997D7E">
        <w:rPr>
          <w:rFonts w:ascii="Arial" w:hAnsi="Arial" w:cs="Arial"/>
          <w:sz w:val="24"/>
          <w:szCs w:val="24"/>
        </w:rPr>
        <w:br/>
        <w:t>3. Focal Persons per College/Institute – Coordinate international activities at unit level.</w:t>
      </w:r>
    </w:p>
    <w:p w:rsidR="003059A9" w:rsidRPr="00997D7E" w:rsidRDefault="00DC5E86">
      <w:pPr>
        <w:pStyle w:val="Heading1"/>
        <w:rPr>
          <w:rFonts w:ascii="Arial" w:hAnsi="Arial" w:cs="Arial"/>
          <w:color w:val="auto"/>
          <w:sz w:val="24"/>
          <w:szCs w:val="24"/>
        </w:rPr>
      </w:pPr>
      <w:r w:rsidRPr="00997D7E">
        <w:rPr>
          <w:rFonts w:ascii="Arial" w:hAnsi="Arial" w:cs="Arial"/>
          <w:color w:val="auto"/>
          <w:sz w:val="24"/>
          <w:szCs w:val="24"/>
        </w:rPr>
        <w:t>V. Program Components</w:t>
      </w:r>
    </w:p>
    <w:p w:rsidR="003059A9" w:rsidRPr="00997D7E" w:rsidRDefault="00DC5E86">
      <w:pPr>
        <w:pStyle w:val="Heading2"/>
        <w:rPr>
          <w:rFonts w:ascii="Arial" w:hAnsi="Arial" w:cs="Arial"/>
          <w:color w:val="auto"/>
          <w:sz w:val="24"/>
          <w:szCs w:val="24"/>
        </w:rPr>
      </w:pPr>
      <w:r w:rsidRPr="00997D7E">
        <w:rPr>
          <w:rFonts w:ascii="Arial" w:hAnsi="Arial" w:cs="Arial"/>
          <w:color w:val="auto"/>
          <w:sz w:val="24"/>
          <w:szCs w:val="24"/>
        </w:rPr>
        <w:t>A. Academic and Curriculum Internationalization</w:t>
      </w:r>
    </w:p>
    <w:p w:rsidR="003059A9" w:rsidRPr="00997D7E" w:rsidRDefault="00DC5E86">
      <w:pPr>
        <w:rPr>
          <w:rFonts w:ascii="Arial" w:hAnsi="Arial" w:cs="Arial"/>
          <w:sz w:val="24"/>
          <w:szCs w:val="24"/>
        </w:rPr>
      </w:pPr>
      <w:r w:rsidRPr="00997D7E">
        <w:rPr>
          <w:rFonts w:ascii="Arial" w:hAnsi="Arial" w:cs="Arial"/>
          <w:sz w:val="24"/>
          <w:szCs w:val="24"/>
        </w:rPr>
        <w:t>Objective: To integrate global perspectives, standards, and innovations into the university’s teaching and learning systems.</w:t>
      </w:r>
    </w:p>
    <w:p w:rsidR="003059A9" w:rsidRPr="00997D7E" w:rsidRDefault="00DC5E86">
      <w:pPr>
        <w:rPr>
          <w:rFonts w:ascii="Arial" w:hAnsi="Arial" w:cs="Arial"/>
          <w:sz w:val="24"/>
          <w:szCs w:val="24"/>
        </w:rPr>
      </w:pPr>
      <w:r w:rsidRPr="00997D7E">
        <w:rPr>
          <w:rFonts w:ascii="Arial" w:hAnsi="Arial" w:cs="Arial"/>
          <w:sz w:val="24"/>
          <w:szCs w:val="24"/>
        </w:rPr>
        <w:t>Key Activities</w:t>
      </w:r>
      <w:proofErr w:type="gramStart"/>
      <w:r w:rsidRPr="00997D7E">
        <w:rPr>
          <w:rFonts w:ascii="Arial" w:hAnsi="Arial" w:cs="Arial"/>
          <w:sz w:val="24"/>
          <w:szCs w:val="24"/>
        </w:rPr>
        <w:t>:</w:t>
      </w:r>
      <w:proofErr w:type="gramEnd"/>
      <w:r w:rsidRPr="00997D7E">
        <w:rPr>
          <w:rFonts w:ascii="Arial" w:hAnsi="Arial" w:cs="Arial"/>
          <w:sz w:val="24"/>
          <w:szCs w:val="24"/>
        </w:rPr>
        <w:br/>
        <w:t>1. Curriculum review and mapping for international outcomes.</w:t>
      </w:r>
      <w:r w:rsidRPr="00997D7E">
        <w:rPr>
          <w:rFonts w:ascii="Arial" w:hAnsi="Arial" w:cs="Arial"/>
          <w:sz w:val="24"/>
          <w:szCs w:val="24"/>
        </w:rPr>
        <w:br/>
        <w:t>2. English and foreign language course offerings.</w:t>
      </w:r>
      <w:r w:rsidRPr="00997D7E">
        <w:rPr>
          <w:rFonts w:ascii="Arial" w:hAnsi="Arial" w:cs="Arial"/>
          <w:sz w:val="24"/>
          <w:szCs w:val="24"/>
        </w:rPr>
        <w:br/>
        <w:t>3. Joint/double degree programs.</w:t>
      </w:r>
      <w:r w:rsidRPr="00997D7E">
        <w:rPr>
          <w:rFonts w:ascii="Arial" w:hAnsi="Arial" w:cs="Arial"/>
          <w:sz w:val="24"/>
          <w:szCs w:val="24"/>
        </w:rPr>
        <w:br/>
        <w:t>4. International accreditation.</w:t>
      </w:r>
      <w:r w:rsidRPr="00997D7E">
        <w:rPr>
          <w:rFonts w:ascii="Arial" w:hAnsi="Arial" w:cs="Arial"/>
          <w:sz w:val="24"/>
          <w:szCs w:val="24"/>
        </w:rPr>
        <w:br/>
        <w:t>5. SDGs and intercultural content infusion.</w:t>
      </w:r>
    </w:p>
    <w:p w:rsidR="003059A9" w:rsidRPr="00997D7E" w:rsidRDefault="00DC5E86">
      <w:pPr>
        <w:rPr>
          <w:rFonts w:ascii="Arial" w:hAnsi="Arial" w:cs="Arial"/>
          <w:sz w:val="24"/>
          <w:szCs w:val="24"/>
        </w:rPr>
      </w:pPr>
      <w:r w:rsidRPr="00997D7E">
        <w:rPr>
          <w:rFonts w:ascii="Arial" w:hAnsi="Arial" w:cs="Arial"/>
          <w:sz w:val="24"/>
          <w:szCs w:val="24"/>
        </w:rPr>
        <w:t>Responsible Offices: Office of Academic Affairs, Colleges/Institutes, Registrar, OIA.</w:t>
      </w:r>
    </w:p>
    <w:p w:rsidR="003059A9" w:rsidRPr="00997D7E" w:rsidRDefault="00DC5E86">
      <w:pPr>
        <w:rPr>
          <w:rFonts w:ascii="Arial" w:hAnsi="Arial" w:cs="Arial"/>
          <w:sz w:val="24"/>
          <w:szCs w:val="24"/>
        </w:rPr>
      </w:pPr>
      <w:r w:rsidRPr="00997D7E">
        <w:rPr>
          <w:rFonts w:ascii="Arial" w:hAnsi="Arial" w:cs="Arial"/>
          <w:b/>
          <w:sz w:val="24"/>
          <w:szCs w:val="24"/>
        </w:rPr>
        <w:t>Procedures</w:t>
      </w:r>
      <w:proofErr w:type="gramStart"/>
      <w:r w:rsidRPr="00997D7E">
        <w:rPr>
          <w:rFonts w:ascii="Arial" w:hAnsi="Arial" w:cs="Arial"/>
          <w:b/>
          <w:sz w:val="24"/>
          <w:szCs w:val="24"/>
        </w:rPr>
        <w:t>:</w:t>
      </w:r>
      <w:proofErr w:type="gramEnd"/>
      <w:r w:rsidRPr="00997D7E">
        <w:rPr>
          <w:rFonts w:ascii="Arial" w:hAnsi="Arial" w:cs="Arial"/>
          <w:b/>
          <w:sz w:val="24"/>
          <w:szCs w:val="24"/>
        </w:rPr>
        <w:br/>
      </w:r>
      <w:r w:rsidRPr="00997D7E">
        <w:rPr>
          <w:rFonts w:ascii="Arial" w:hAnsi="Arial" w:cs="Arial"/>
          <w:sz w:val="24"/>
          <w:szCs w:val="24"/>
        </w:rPr>
        <w:t>- Academic units propose revisions → Reviewed by Internationalization Committee → Academic Council → BOR approval.</w:t>
      </w:r>
      <w:r w:rsidRPr="00997D7E">
        <w:rPr>
          <w:rFonts w:ascii="Arial" w:hAnsi="Arial" w:cs="Arial"/>
          <w:sz w:val="24"/>
          <w:szCs w:val="24"/>
        </w:rPr>
        <w:br/>
        <w:t>- Joint curriculum agreements with foreign universities → Accreditation → CHED recognition.</w:t>
      </w:r>
    </w:p>
    <w:p w:rsidR="002872D6" w:rsidRDefault="002872D6">
      <w:pPr>
        <w:rPr>
          <w:rFonts w:ascii="Arial" w:hAnsi="Arial" w:cs="Arial"/>
          <w:b/>
          <w:sz w:val="24"/>
          <w:szCs w:val="24"/>
        </w:rPr>
      </w:pPr>
    </w:p>
    <w:p w:rsidR="003059A9" w:rsidRPr="00997D7E" w:rsidRDefault="00DC5E86">
      <w:pPr>
        <w:rPr>
          <w:rFonts w:ascii="Arial" w:hAnsi="Arial" w:cs="Arial"/>
          <w:sz w:val="24"/>
          <w:szCs w:val="24"/>
        </w:rPr>
      </w:pPr>
      <w:r w:rsidRPr="00997D7E">
        <w:rPr>
          <w:rFonts w:ascii="Arial" w:hAnsi="Arial" w:cs="Arial"/>
          <w:b/>
          <w:sz w:val="24"/>
          <w:szCs w:val="24"/>
        </w:rPr>
        <w:lastRenderedPageBreak/>
        <w:t>Monitoring Indicators</w:t>
      </w:r>
      <w:proofErr w:type="gramStart"/>
      <w:r w:rsidRPr="00997D7E">
        <w:rPr>
          <w:rFonts w:ascii="Arial" w:hAnsi="Arial" w:cs="Arial"/>
          <w:b/>
          <w:sz w:val="24"/>
          <w:szCs w:val="24"/>
        </w:rPr>
        <w:t>:</w:t>
      </w:r>
      <w:proofErr w:type="gramEnd"/>
      <w:r w:rsidRPr="00997D7E">
        <w:rPr>
          <w:rFonts w:ascii="Arial" w:hAnsi="Arial" w:cs="Arial"/>
          <w:b/>
          <w:sz w:val="24"/>
          <w:szCs w:val="24"/>
        </w:rPr>
        <w:br/>
      </w:r>
      <w:r w:rsidRPr="00997D7E">
        <w:rPr>
          <w:rFonts w:ascii="Arial" w:hAnsi="Arial" w:cs="Arial"/>
          <w:sz w:val="24"/>
          <w:szCs w:val="24"/>
        </w:rPr>
        <w:t>- Number of accredited programs.</w:t>
      </w:r>
      <w:r w:rsidRPr="00997D7E">
        <w:rPr>
          <w:rFonts w:ascii="Arial" w:hAnsi="Arial" w:cs="Arial"/>
          <w:sz w:val="24"/>
          <w:szCs w:val="24"/>
        </w:rPr>
        <w:br/>
        <w:t>- Courses with global outcomes.</w:t>
      </w:r>
      <w:r w:rsidRPr="00997D7E">
        <w:rPr>
          <w:rFonts w:ascii="Arial" w:hAnsi="Arial" w:cs="Arial"/>
          <w:sz w:val="24"/>
          <w:szCs w:val="24"/>
        </w:rPr>
        <w:br/>
        <w:t>- Number of joint degree programs.</w:t>
      </w:r>
    </w:p>
    <w:p w:rsidR="002872D6" w:rsidRDefault="002872D6">
      <w:pPr>
        <w:pStyle w:val="Heading2"/>
        <w:rPr>
          <w:rFonts w:ascii="Arial" w:hAnsi="Arial" w:cs="Arial"/>
          <w:color w:val="auto"/>
          <w:sz w:val="24"/>
          <w:szCs w:val="24"/>
        </w:rPr>
      </w:pPr>
    </w:p>
    <w:p w:rsidR="003059A9" w:rsidRDefault="00DC5E86">
      <w:pPr>
        <w:pStyle w:val="Heading2"/>
        <w:rPr>
          <w:rFonts w:ascii="Arial" w:hAnsi="Arial" w:cs="Arial"/>
          <w:color w:val="auto"/>
          <w:sz w:val="24"/>
          <w:szCs w:val="24"/>
        </w:rPr>
      </w:pPr>
      <w:r w:rsidRPr="00997D7E">
        <w:rPr>
          <w:rFonts w:ascii="Arial" w:hAnsi="Arial" w:cs="Arial"/>
          <w:color w:val="auto"/>
          <w:sz w:val="24"/>
          <w:szCs w:val="24"/>
        </w:rPr>
        <w:t>B. Student, Faculty, and Staff Mobility</w:t>
      </w:r>
    </w:p>
    <w:p w:rsidR="003059A9" w:rsidRPr="00997D7E" w:rsidRDefault="00DC5E86">
      <w:pPr>
        <w:rPr>
          <w:rFonts w:ascii="Arial" w:hAnsi="Arial" w:cs="Arial"/>
          <w:sz w:val="24"/>
          <w:szCs w:val="24"/>
        </w:rPr>
      </w:pPr>
      <w:r w:rsidRPr="00997D7E">
        <w:rPr>
          <w:rFonts w:ascii="Arial" w:hAnsi="Arial" w:cs="Arial"/>
          <w:sz w:val="24"/>
          <w:szCs w:val="24"/>
        </w:rPr>
        <w:t>Objective: To provide opportunities for academic and cultural exchange, capacity building, and global exposure.</w:t>
      </w:r>
    </w:p>
    <w:p w:rsidR="003059A9" w:rsidRPr="00997D7E" w:rsidRDefault="00DC5E86">
      <w:pPr>
        <w:rPr>
          <w:rFonts w:ascii="Arial" w:hAnsi="Arial" w:cs="Arial"/>
          <w:sz w:val="24"/>
          <w:szCs w:val="24"/>
        </w:rPr>
      </w:pPr>
      <w:r w:rsidRPr="00997D7E">
        <w:rPr>
          <w:rFonts w:ascii="Arial" w:hAnsi="Arial" w:cs="Arial"/>
          <w:sz w:val="24"/>
          <w:szCs w:val="24"/>
        </w:rPr>
        <w:t>Key Activities</w:t>
      </w:r>
      <w:proofErr w:type="gramStart"/>
      <w:r w:rsidRPr="00997D7E">
        <w:rPr>
          <w:rFonts w:ascii="Arial" w:hAnsi="Arial" w:cs="Arial"/>
          <w:sz w:val="24"/>
          <w:szCs w:val="24"/>
        </w:rPr>
        <w:t>:</w:t>
      </w:r>
      <w:proofErr w:type="gramEnd"/>
      <w:r w:rsidRPr="00997D7E">
        <w:rPr>
          <w:rFonts w:ascii="Arial" w:hAnsi="Arial" w:cs="Arial"/>
          <w:sz w:val="24"/>
          <w:szCs w:val="24"/>
        </w:rPr>
        <w:br/>
        <w:t>1. Outbound mobility (exchange, practicum, sabbaticals).</w:t>
      </w:r>
      <w:r w:rsidRPr="00997D7E">
        <w:rPr>
          <w:rFonts w:ascii="Arial" w:hAnsi="Arial" w:cs="Arial"/>
          <w:sz w:val="24"/>
          <w:szCs w:val="24"/>
        </w:rPr>
        <w:br/>
        <w:t>2. Inbound mobility (hosting foreign students/professors).</w:t>
      </w:r>
      <w:r w:rsidRPr="00997D7E">
        <w:rPr>
          <w:rFonts w:ascii="Arial" w:hAnsi="Arial" w:cs="Arial"/>
          <w:sz w:val="24"/>
          <w:szCs w:val="24"/>
        </w:rPr>
        <w:br/>
        <w:t>3. Pre-departure and re-entry orientation.</w:t>
      </w:r>
      <w:r w:rsidRPr="00997D7E">
        <w:rPr>
          <w:rFonts w:ascii="Arial" w:hAnsi="Arial" w:cs="Arial"/>
          <w:sz w:val="24"/>
          <w:szCs w:val="24"/>
        </w:rPr>
        <w:br/>
        <w:t>4. Credit transfer and recognition.</w:t>
      </w:r>
      <w:r w:rsidRPr="00997D7E">
        <w:rPr>
          <w:rFonts w:ascii="Arial" w:hAnsi="Arial" w:cs="Arial"/>
          <w:sz w:val="24"/>
          <w:szCs w:val="24"/>
        </w:rPr>
        <w:br/>
        <w:t>5. Scholarship sourcing.</w:t>
      </w:r>
    </w:p>
    <w:p w:rsidR="003059A9" w:rsidRPr="00997D7E" w:rsidRDefault="00DC5E86">
      <w:pPr>
        <w:rPr>
          <w:rFonts w:ascii="Arial" w:hAnsi="Arial" w:cs="Arial"/>
          <w:sz w:val="24"/>
          <w:szCs w:val="24"/>
        </w:rPr>
      </w:pPr>
      <w:r w:rsidRPr="00997D7E">
        <w:rPr>
          <w:rFonts w:ascii="Arial" w:hAnsi="Arial" w:cs="Arial"/>
          <w:sz w:val="24"/>
          <w:szCs w:val="24"/>
        </w:rPr>
        <w:t>Responsible Offices: OIA, Student Affairs, HR, Colleges/Institutes.</w:t>
      </w:r>
    </w:p>
    <w:p w:rsidR="003059A9" w:rsidRPr="00997D7E" w:rsidRDefault="00DC5E86">
      <w:pPr>
        <w:rPr>
          <w:rFonts w:ascii="Arial" w:hAnsi="Arial" w:cs="Arial"/>
          <w:sz w:val="24"/>
          <w:szCs w:val="24"/>
        </w:rPr>
      </w:pPr>
      <w:r w:rsidRPr="00997D7E">
        <w:rPr>
          <w:rFonts w:ascii="Arial" w:hAnsi="Arial" w:cs="Arial"/>
          <w:b/>
          <w:sz w:val="24"/>
          <w:szCs w:val="24"/>
        </w:rPr>
        <w:t>Procedures</w:t>
      </w:r>
      <w:proofErr w:type="gramStart"/>
      <w:r w:rsidRPr="00997D7E">
        <w:rPr>
          <w:rFonts w:ascii="Arial" w:hAnsi="Arial" w:cs="Arial"/>
          <w:b/>
          <w:sz w:val="24"/>
          <w:szCs w:val="24"/>
        </w:rPr>
        <w:t>:</w:t>
      </w:r>
      <w:proofErr w:type="gramEnd"/>
      <w:r w:rsidRPr="00997D7E">
        <w:rPr>
          <w:rFonts w:ascii="Arial" w:hAnsi="Arial" w:cs="Arial"/>
          <w:b/>
          <w:sz w:val="24"/>
          <w:szCs w:val="24"/>
        </w:rPr>
        <w:br/>
      </w:r>
      <w:r w:rsidRPr="00997D7E">
        <w:rPr>
          <w:rFonts w:ascii="Arial" w:hAnsi="Arial" w:cs="Arial"/>
          <w:sz w:val="24"/>
          <w:szCs w:val="24"/>
        </w:rPr>
        <w:t>- Announcement → Screening → Selection → Orientation → Monitoring → Re-entry integration.</w:t>
      </w:r>
      <w:r w:rsidRPr="00997D7E">
        <w:rPr>
          <w:rFonts w:ascii="Arial" w:hAnsi="Arial" w:cs="Arial"/>
          <w:sz w:val="24"/>
          <w:szCs w:val="24"/>
        </w:rPr>
        <w:br/>
        <w:t>- Hosting inbound: Visa → Arrival orientation → Mentor assignment.</w:t>
      </w:r>
    </w:p>
    <w:p w:rsidR="003059A9" w:rsidRPr="00997D7E" w:rsidRDefault="00DC5E86">
      <w:pPr>
        <w:rPr>
          <w:rFonts w:ascii="Arial" w:hAnsi="Arial" w:cs="Arial"/>
          <w:sz w:val="24"/>
          <w:szCs w:val="24"/>
        </w:rPr>
      </w:pPr>
      <w:r w:rsidRPr="00997D7E">
        <w:rPr>
          <w:rFonts w:ascii="Arial" w:hAnsi="Arial" w:cs="Arial"/>
          <w:b/>
          <w:sz w:val="24"/>
          <w:szCs w:val="24"/>
        </w:rPr>
        <w:t>Monitoring Indicators</w:t>
      </w:r>
      <w:proofErr w:type="gramStart"/>
      <w:r w:rsidRPr="00997D7E">
        <w:rPr>
          <w:rFonts w:ascii="Arial" w:hAnsi="Arial" w:cs="Arial"/>
          <w:b/>
          <w:sz w:val="24"/>
          <w:szCs w:val="24"/>
        </w:rPr>
        <w:t>:</w:t>
      </w:r>
      <w:proofErr w:type="gramEnd"/>
      <w:r w:rsidRPr="00997D7E">
        <w:rPr>
          <w:rFonts w:ascii="Arial" w:hAnsi="Arial" w:cs="Arial"/>
          <w:b/>
          <w:sz w:val="24"/>
          <w:szCs w:val="24"/>
        </w:rPr>
        <w:br/>
      </w:r>
      <w:r w:rsidRPr="00997D7E">
        <w:rPr>
          <w:rFonts w:ascii="Arial" w:hAnsi="Arial" w:cs="Arial"/>
          <w:sz w:val="24"/>
          <w:szCs w:val="24"/>
        </w:rPr>
        <w:t>- Number of inbound/outbound exchanges.</w:t>
      </w:r>
      <w:r w:rsidRPr="00997D7E">
        <w:rPr>
          <w:rFonts w:ascii="Arial" w:hAnsi="Arial" w:cs="Arial"/>
          <w:sz w:val="24"/>
          <w:szCs w:val="24"/>
        </w:rPr>
        <w:br/>
        <w:t>- Utilization ratio of agreements.</w:t>
      </w:r>
      <w:r w:rsidRPr="00997D7E">
        <w:rPr>
          <w:rFonts w:ascii="Arial" w:hAnsi="Arial" w:cs="Arial"/>
          <w:sz w:val="24"/>
          <w:szCs w:val="24"/>
        </w:rPr>
        <w:br/>
        <w:t>- Re-entry program completion rate.</w:t>
      </w:r>
    </w:p>
    <w:p w:rsidR="002872D6" w:rsidRDefault="002872D6">
      <w:pPr>
        <w:pStyle w:val="Heading2"/>
        <w:rPr>
          <w:rFonts w:ascii="Arial" w:hAnsi="Arial" w:cs="Arial"/>
          <w:color w:val="auto"/>
          <w:sz w:val="24"/>
          <w:szCs w:val="24"/>
        </w:rPr>
      </w:pPr>
    </w:p>
    <w:p w:rsidR="003059A9" w:rsidRPr="00997D7E" w:rsidRDefault="00DC5E86">
      <w:pPr>
        <w:pStyle w:val="Heading2"/>
        <w:rPr>
          <w:rFonts w:ascii="Arial" w:hAnsi="Arial" w:cs="Arial"/>
          <w:color w:val="auto"/>
          <w:sz w:val="24"/>
          <w:szCs w:val="24"/>
        </w:rPr>
      </w:pPr>
      <w:r w:rsidRPr="00997D7E">
        <w:rPr>
          <w:rFonts w:ascii="Arial" w:hAnsi="Arial" w:cs="Arial"/>
          <w:color w:val="auto"/>
          <w:sz w:val="24"/>
          <w:szCs w:val="24"/>
        </w:rPr>
        <w:t>C. Research and Extension Internationalization</w:t>
      </w:r>
    </w:p>
    <w:p w:rsidR="003059A9" w:rsidRPr="00997D7E" w:rsidRDefault="00DC5E86">
      <w:pPr>
        <w:rPr>
          <w:rFonts w:ascii="Arial" w:hAnsi="Arial" w:cs="Arial"/>
          <w:sz w:val="24"/>
          <w:szCs w:val="24"/>
        </w:rPr>
      </w:pPr>
      <w:r w:rsidRPr="00997D7E">
        <w:rPr>
          <w:rFonts w:ascii="Arial" w:hAnsi="Arial" w:cs="Arial"/>
          <w:sz w:val="24"/>
          <w:szCs w:val="24"/>
        </w:rPr>
        <w:t>Objective: To strengthen collaborative research and innovation while extending services beyond borders.</w:t>
      </w:r>
    </w:p>
    <w:p w:rsidR="003059A9" w:rsidRPr="00997D7E" w:rsidRDefault="00DC5E86">
      <w:pPr>
        <w:rPr>
          <w:rFonts w:ascii="Arial" w:hAnsi="Arial" w:cs="Arial"/>
          <w:sz w:val="24"/>
          <w:szCs w:val="24"/>
        </w:rPr>
      </w:pPr>
      <w:r w:rsidRPr="00997D7E">
        <w:rPr>
          <w:rFonts w:ascii="Arial" w:hAnsi="Arial" w:cs="Arial"/>
          <w:b/>
          <w:sz w:val="24"/>
          <w:szCs w:val="24"/>
        </w:rPr>
        <w:t>Key Activities</w:t>
      </w:r>
      <w:proofErr w:type="gramStart"/>
      <w:r w:rsidRPr="00997D7E">
        <w:rPr>
          <w:rFonts w:ascii="Arial" w:hAnsi="Arial" w:cs="Arial"/>
          <w:b/>
          <w:sz w:val="24"/>
          <w:szCs w:val="24"/>
        </w:rPr>
        <w:t>:</w:t>
      </w:r>
      <w:proofErr w:type="gramEnd"/>
      <w:r w:rsidRPr="00997D7E">
        <w:rPr>
          <w:rFonts w:ascii="Arial" w:hAnsi="Arial" w:cs="Arial"/>
          <w:b/>
          <w:sz w:val="24"/>
          <w:szCs w:val="24"/>
        </w:rPr>
        <w:br/>
      </w:r>
      <w:r w:rsidRPr="00997D7E">
        <w:rPr>
          <w:rFonts w:ascii="Arial" w:hAnsi="Arial" w:cs="Arial"/>
          <w:sz w:val="24"/>
          <w:szCs w:val="24"/>
        </w:rPr>
        <w:t>1. International collaborative research.</w:t>
      </w:r>
      <w:r w:rsidRPr="00997D7E">
        <w:rPr>
          <w:rFonts w:ascii="Arial" w:hAnsi="Arial" w:cs="Arial"/>
          <w:sz w:val="24"/>
          <w:szCs w:val="24"/>
        </w:rPr>
        <w:br/>
        <w:t>2. Joint conferences and workshops.</w:t>
      </w:r>
      <w:r w:rsidRPr="00997D7E">
        <w:rPr>
          <w:rFonts w:ascii="Arial" w:hAnsi="Arial" w:cs="Arial"/>
          <w:sz w:val="24"/>
          <w:szCs w:val="24"/>
        </w:rPr>
        <w:br/>
        <w:t>3. Indexed publications.</w:t>
      </w:r>
      <w:r w:rsidRPr="00997D7E">
        <w:rPr>
          <w:rFonts w:ascii="Arial" w:hAnsi="Arial" w:cs="Arial"/>
          <w:sz w:val="24"/>
          <w:szCs w:val="24"/>
        </w:rPr>
        <w:br/>
        <w:t>4. International extension projects.</w:t>
      </w:r>
      <w:r w:rsidRPr="00997D7E">
        <w:rPr>
          <w:rFonts w:ascii="Arial" w:hAnsi="Arial" w:cs="Arial"/>
          <w:sz w:val="24"/>
          <w:szCs w:val="24"/>
        </w:rPr>
        <w:br/>
        <w:t>5. Innovation hubs with partners.</w:t>
      </w:r>
    </w:p>
    <w:p w:rsidR="003059A9" w:rsidRPr="00997D7E" w:rsidRDefault="00DC5E86">
      <w:pPr>
        <w:rPr>
          <w:rFonts w:ascii="Arial" w:hAnsi="Arial" w:cs="Arial"/>
          <w:sz w:val="24"/>
          <w:szCs w:val="24"/>
        </w:rPr>
      </w:pPr>
      <w:r w:rsidRPr="00997D7E">
        <w:rPr>
          <w:rFonts w:ascii="Arial" w:hAnsi="Arial" w:cs="Arial"/>
          <w:sz w:val="24"/>
          <w:szCs w:val="24"/>
        </w:rPr>
        <w:t>Responsible Offices: Research &amp; Extension Office, Graduate School, OIA.</w:t>
      </w:r>
    </w:p>
    <w:p w:rsidR="003059A9" w:rsidRPr="00997D7E" w:rsidRDefault="00DC5E86">
      <w:pPr>
        <w:rPr>
          <w:rFonts w:ascii="Arial" w:hAnsi="Arial" w:cs="Arial"/>
          <w:sz w:val="24"/>
          <w:szCs w:val="24"/>
        </w:rPr>
      </w:pPr>
      <w:r w:rsidRPr="00997D7E">
        <w:rPr>
          <w:rFonts w:ascii="Arial" w:hAnsi="Arial" w:cs="Arial"/>
          <w:b/>
          <w:sz w:val="24"/>
          <w:szCs w:val="24"/>
        </w:rPr>
        <w:lastRenderedPageBreak/>
        <w:t>Procedures</w:t>
      </w:r>
      <w:proofErr w:type="gramStart"/>
      <w:r w:rsidRPr="00997D7E">
        <w:rPr>
          <w:rFonts w:ascii="Arial" w:hAnsi="Arial" w:cs="Arial"/>
          <w:b/>
          <w:sz w:val="24"/>
          <w:szCs w:val="24"/>
        </w:rPr>
        <w:t>:</w:t>
      </w:r>
      <w:proofErr w:type="gramEnd"/>
      <w:r w:rsidRPr="00997D7E">
        <w:rPr>
          <w:rFonts w:ascii="Arial" w:hAnsi="Arial" w:cs="Arial"/>
          <w:b/>
          <w:sz w:val="24"/>
          <w:szCs w:val="24"/>
        </w:rPr>
        <w:br/>
      </w:r>
      <w:r w:rsidRPr="00997D7E">
        <w:rPr>
          <w:rFonts w:ascii="Arial" w:hAnsi="Arial" w:cs="Arial"/>
          <w:sz w:val="24"/>
          <w:szCs w:val="24"/>
        </w:rPr>
        <w:t>- Proposal → R&amp;E review → Funding application → Project implementation → Joint publications.</w:t>
      </w:r>
      <w:r w:rsidRPr="00997D7E">
        <w:rPr>
          <w:rFonts w:ascii="Arial" w:hAnsi="Arial" w:cs="Arial"/>
          <w:sz w:val="24"/>
          <w:szCs w:val="24"/>
        </w:rPr>
        <w:br/>
        <w:t>- Extension: Partner community identification → Proposal → MOA → Implementation.</w:t>
      </w:r>
    </w:p>
    <w:p w:rsidR="003059A9" w:rsidRPr="00997D7E" w:rsidRDefault="00DC5E86">
      <w:pPr>
        <w:rPr>
          <w:rFonts w:ascii="Arial" w:hAnsi="Arial" w:cs="Arial"/>
          <w:sz w:val="24"/>
          <w:szCs w:val="24"/>
        </w:rPr>
      </w:pPr>
      <w:r w:rsidRPr="00997D7E">
        <w:rPr>
          <w:rFonts w:ascii="Arial" w:hAnsi="Arial" w:cs="Arial"/>
          <w:b/>
          <w:sz w:val="24"/>
          <w:szCs w:val="24"/>
        </w:rPr>
        <w:t>Monitoring Indicators</w:t>
      </w:r>
      <w:proofErr w:type="gramStart"/>
      <w:r w:rsidRPr="00997D7E">
        <w:rPr>
          <w:rFonts w:ascii="Arial" w:hAnsi="Arial" w:cs="Arial"/>
          <w:b/>
          <w:sz w:val="24"/>
          <w:szCs w:val="24"/>
        </w:rPr>
        <w:t>:</w:t>
      </w:r>
      <w:proofErr w:type="gramEnd"/>
      <w:r w:rsidRPr="00997D7E">
        <w:rPr>
          <w:rFonts w:ascii="Arial" w:hAnsi="Arial" w:cs="Arial"/>
          <w:b/>
          <w:sz w:val="24"/>
          <w:szCs w:val="24"/>
        </w:rPr>
        <w:br/>
      </w:r>
      <w:r w:rsidRPr="00997D7E">
        <w:rPr>
          <w:rFonts w:ascii="Arial" w:hAnsi="Arial" w:cs="Arial"/>
          <w:sz w:val="24"/>
          <w:szCs w:val="24"/>
        </w:rPr>
        <w:t>- Number of research collaborations.</w:t>
      </w:r>
      <w:r w:rsidRPr="00997D7E">
        <w:rPr>
          <w:rFonts w:ascii="Arial" w:hAnsi="Arial" w:cs="Arial"/>
          <w:sz w:val="24"/>
          <w:szCs w:val="24"/>
        </w:rPr>
        <w:br/>
        <w:t>- Publications in refereed journals.</w:t>
      </w:r>
      <w:r w:rsidRPr="00997D7E">
        <w:rPr>
          <w:rFonts w:ascii="Arial" w:hAnsi="Arial" w:cs="Arial"/>
          <w:sz w:val="24"/>
          <w:szCs w:val="24"/>
        </w:rPr>
        <w:br/>
        <w:t>- International conferences hosted.</w:t>
      </w:r>
      <w:r w:rsidRPr="00997D7E">
        <w:rPr>
          <w:rFonts w:ascii="Arial" w:hAnsi="Arial" w:cs="Arial"/>
          <w:sz w:val="24"/>
          <w:szCs w:val="24"/>
        </w:rPr>
        <w:br/>
        <w:t>- Extension projects abroad.</w:t>
      </w:r>
    </w:p>
    <w:p w:rsidR="003059A9" w:rsidRDefault="00DC5E86">
      <w:pPr>
        <w:pStyle w:val="Heading2"/>
        <w:rPr>
          <w:rFonts w:ascii="Arial" w:hAnsi="Arial" w:cs="Arial"/>
          <w:color w:val="auto"/>
          <w:sz w:val="24"/>
          <w:szCs w:val="24"/>
        </w:rPr>
      </w:pPr>
      <w:r w:rsidRPr="00997D7E">
        <w:rPr>
          <w:rFonts w:ascii="Arial" w:hAnsi="Arial" w:cs="Arial"/>
          <w:color w:val="auto"/>
          <w:sz w:val="24"/>
          <w:szCs w:val="24"/>
        </w:rPr>
        <w:t>D. Partnerships and Linkages</w:t>
      </w:r>
    </w:p>
    <w:p w:rsidR="00997D7E" w:rsidRPr="00997D7E" w:rsidRDefault="00997D7E" w:rsidP="00997D7E"/>
    <w:p w:rsidR="003059A9" w:rsidRPr="00997D7E" w:rsidRDefault="00DC5E86">
      <w:pPr>
        <w:rPr>
          <w:rFonts w:ascii="Arial" w:hAnsi="Arial" w:cs="Arial"/>
          <w:sz w:val="24"/>
          <w:szCs w:val="24"/>
        </w:rPr>
      </w:pPr>
      <w:r w:rsidRPr="00997D7E">
        <w:rPr>
          <w:rFonts w:ascii="Arial" w:hAnsi="Arial" w:cs="Arial"/>
          <w:sz w:val="24"/>
          <w:szCs w:val="24"/>
        </w:rPr>
        <w:t>Objective: To establish sustainable, reciprocal, and mutually beneficial collaborations with foreign institutions and organizations.</w:t>
      </w:r>
    </w:p>
    <w:p w:rsidR="003059A9" w:rsidRPr="00997D7E" w:rsidRDefault="00DC5E86">
      <w:pPr>
        <w:rPr>
          <w:rFonts w:ascii="Arial" w:hAnsi="Arial" w:cs="Arial"/>
          <w:sz w:val="24"/>
          <w:szCs w:val="24"/>
        </w:rPr>
      </w:pPr>
      <w:r w:rsidRPr="00997D7E">
        <w:rPr>
          <w:rFonts w:ascii="Arial" w:hAnsi="Arial" w:cs="Arial"/>
          <w:sz w:val="24"/>
          <w:szCs w:val="24"/>
        </w:rPr>
        <w:t>Key Activities</w:t>
      </w:r>
      <w:proofErr w:type="gramStart"/>
      <w:r w:rsidRPr="00997D7E">
        <w:rPr>
          <w:rFonts w:ascii="Arial" w:hAnsi="Arial" w:cs="Arial"/>
          <w:sz w:val="24"/>
          <w:szCs w:val="24"/>
        </w:rPr>
        <w:t>:</w:t>
      </w:r>
      <w:proofErr w:type="gramEnd"/>
      <w:r w:rsidRPr="00997D7E">
        <w:rPr>
          <w:rFonts w:ascii="Arial" w:hAnsi="Arial" w:cs="Arial"/>
          <w:sz w:val="24"/>
          <w:szCs w:val="24"/>
        </w:rPr>
        <w:br/>
        <w:t>1. MOUs/MOAs with institutions.</w:t>
      </w:r>
      <w:r w:rsidRPr="00997D7E">
        <w:rPr>
          <w:rFonts w:ascii="Arial" w:hAnsi="Arial" w:cs="Arial"/>
          <w:sz w:val="24"/>
          <w:szCs w:val="24"/>
        </w:rPr>
        <w:br/>
        <w:t>2. Membership in academic networks.</w:t>
      </w:r>
      <w:r w:rsidRPr="00997D7E">
        <w:rPr>
          <w:rFonts w:ascii="Arial" w:hAnsi="Arial" w:cs="Arial"/>
          <w:sz w:val="24"/>
          <w:szCs w:val="24"/>
        </w:rPr>
        <w:br/>
        <w:t>3. Industry linkages abroad.</w:t>
      </w:r>
      <w:r w:rsidRPr="00997D7E">
        <w:rPr>
          <w:rFonts w:ascii="Arial" w:hAnsi="Arial" w:cs="Arial"/>
          <w:sz w:val="24"/>
          <w:szCs w:val="24"/>
        </w:rPr>
        <w:br/>
        <w:t>4. Alumni engagement.</w:t>
      </w:r>
      <w:r w:rsidRPr="00997D7E">
        <w:rPr>
          <w:rFonts w:ascii="Arial" w:hAnsi="Arial" w:cs="Arial"/>
          <w:sz w:val="24"/>
          <w:szCs w:val="24"/>
        </w:rPr>
        <w:br/>
        <w:t>5. Partnership evaluation.</w:t>
      </w:r>
    </w:p>
    <w:p w:rsidR="003059A9" w:rsidRPr="00997D7E" w:rsidRDefault="00DC5E86">
      <w:pPr>
        <w:rPr>
          <w:rFonts w:ascii="Arial" w:hAnsi="Arial" w:cs="Arial"/>
          <w:sz w:val="24"/>
          <w:szCs w:val="24"/>
        </w:rPr>
      </w:pPr>
      <w:r w:rsidRPr="00997D7E">
        <w:rPr>
          <w:rFonts w:ascii="Arial" w:hAnsi="Arial" w:cs="Arial"/>
          <w:sz w:val="24"/>
          <w:szCs w:val="24"/>
        </w:rPr>
        <w:t>Responsible Offices: OIA, President’s Office, Legal Office.</w:t>
      </w:r>
    </w:p>
    <w:p w:rsidR="003059A9" w:rsidRPr="00997D7E" w:rsidRDefault="00DC5E86">
      <w:pPr>
        <w:rPr>
          <w:rFonts w:ascii="Arial" w:hAnsi="Arial" w:cs="Arial"/>
          <w:sz w:val="24"/>
          <w:szCs w:val="24"/>
        </w:rPr>
      </w:pPr>
      <w:r w:rsidRPr="00997D7E">
        <w:rPr>
          <w:rFonts w:ascii="Arial" w:hAnsi="Arial" w:cs="Arial"/>
          <w:b/>
          <w:sz w:val="24"/>
          <w:szCs w:val="24"/>
        </w:rPr>
        <w:t>Procedures</w:t>
      </w:r>
      <w:proofErr w:type="gramStart"/>
      <w:r w:rsidRPr="00997D7E">
        <w:rPr>
          <w:rFonts w:ascii="Arial" w:hAnsi="Arial" w:cs="Arial"/>
          <w:b/>
          <w:sz w:val="24"/>
          <w:szCs w:val="24"/>
        </w:rPr>
        <w:t>:</w:t>
      </w:r>
      <w:proofErr w:type="gramEnd"/>
      <w:r w:rsidRPr="00997D7E">
        <w:rPr>
          <w:rFonts w:ascii="Arial" w:hAnsi="Arial" w:cs="Arial"/>
          <w:b/>
          <w:sz w:val="24"/>
          <w:szCs w:val="24"/>
        </w:rPr>
        <w:br/>
      </w:r>
      <w:r w:rsidRPr="00997D7E">
        <w:rPr>
          <w:rFonts w:ascii="Arial" w:hAnsi="Arial" w:cs="Arial"/>
          <w:sz w:val="24"/>
          <w:szCs w:val="24"/>
        </w:rPr>
        <w:t>- Partner scouting → Initial discussions → Draft MOU → Legal vetting → BOR approval → Signing.</w:t>
      </w:r>
      <w:r w:rsidRPr="00997D7E">
        <w:rPr>
          <w:rFonts w:ascii="Arial" w:hAnsi="Arial" w:cs="Arial"/>
          <w:sz w:val="24"/>
          <w:szCs w:val="24"/>
        </w:rPr>
        <w:br/>
        <w:t>- Annual review and output evaluation.</w:t>
      </w:r>
    </w:p>
    <w:p w:rsidR="003059A9" w:rsidRPr="00997D7E" w:rsidRDefault="00DC5E86">
      <w:pPr>
        <w:rPr>
          <w:rFonts w:ascii="Arial" w:hAnsi="Arial" w:cs="Arial"/>
          <w:sz w:val="24"/>
          <w:szCs w:val="24"/>
        </w:rPr>
      </w:pPr>
      <w:r w:rsidRPr="00997D7E">
        <w:rPr>
          <w:rFonts w:ascii="Arial" w:hAnsi="Arial" w:cs="Arial"/>
          <w:b/>
          <w:sz w:val="24"/>
          <w:szCs w:val="24"/>
        </w:rPr>
        <w:t>Monitoring Indicators</w:t>
      </w:r>
      <w:proofErr w:type="gramStart"/>
      <w:r w:rsidRPr="00997D7E">
        <w:rPr>
          <w:rFonts w:ascii="Arial" w:hAnsi="Arial" w:cs="Arial"/>
          <w:b/>
          <w:sz w:val="24"/>
          <w:szCs w:val="24"/>
        </w:rPr>
        <w:t>:</w:t>
      </w:r>
      <w:proofErr w:type="gramEnd"/>
      <w:r w:rsidRPr="00997D7E">
        <w:rPr>
          <w:rFonts w:ascii="Arial" w:hAnsi="Arial" w:cs="Arial"/>
          <w:sz w:val="24"/>
          <w:szCs w:val="24"/>
        </w:rPr>
        <w:br/>
        <w:t>- Number of active MOUs.</w:t>
      </w:r>
      <w:r w:rsidRPr="00997D7E">
        <w:rPr>
          <w:rFonts w:ascii="Arial" w:hAnsi="Arial" w:cs="Arial"/>
          <w:sz w:val="24"/>
          <w:szCs w:val="24"/>
        </w:rPr>
        <w:br/>
        <w:t>- Percentage of partnerships with outputs.</w:t>
      </w:r>
      <w:r w:rsidRPr="00997D7E">
        <w:rPr>
          <w:rFonts w:ascii="Arial" w:hAnsi="Arial" w:cs="Arial"/>
          <w:sz w:val="24"/>
          <w:szCs w:val="24"/>
        </w:rPr>
        <w:br/>
        <w:t>- Network memberships.</w:t>
      </w:r>
    </w:p>
    <w:p w:rsidR="002872D6" w:rsidRDefault="002872D6">
      <w:pPr>
        <w:pStyle w:val="Heading2"/>
        <w:rPr>
          <w:rFonts w:ascii="Arial" w:hAnsi="Arial" w:cs="Arial"/>
          <w:color w:val="auto"/>
          <w:sz w:val="24"/>
          <w:szCs w:val="24"/>
        </w:rPr>
      </w:pPr>
    </w:p>
    <w:p w:rsidR="003059A9" w:rsidRDefault="00DC5E86">
      <w:pPr>
        <w:pStyle w:val="Heading2"/>
        <w:rPr>
          <w:rFonts w:ascii="Arial" w:hAnsi="Arial" w:cs="Arial"/>
          <w:color w:val="auto"/>
          <w:sz w:val="24"/>
          <w:szCs w:val="24"/>
        </w:rPr>
      </w:pPr>
      <w:r w:rsidRPr="00997D7E">
        <w:rPr>
          <w:rFonts w:ascii="Arial" w:hAnsi="Arial" w:cs="Arial"/>
          <w:color w:val="auto"/>
          <w:sz w:val="24"/>
          <w:szCs w:val="24"/>
        </w:rPr>
        <w:t>E. Cultural and Language Programs</w:t>
      </w:r>
    </w:p>
    <w:p w:rsidR="003059A9" w:rsidRPr="00997D7E" w:rsidRDefault="00DC5E86">
      <w:pPr>
        <w:rPr>
          <w:rFonts w:ascii="Arial" w:hAnsi="Arial" w:cs="Arial"/>
          <w:sz w:val="24"/>
          <w:szCs w:val="24"/>
        </w:rPr>
      </w:pPr>
      <w:r w:rsidRPr="00997D7E">
        <w:rPr>
          <w:rFonts w:ascii="Arial" w:hAnsi="Arial" w:cs="Arial"/>
          <w:sz w:val="24"/>
          <w:szCs w:val="24"/>
        </w:rPr>
        <w:t>Objective: To foster intercultural competence, diversity awareness, and multilingual communication.</w:t>
      </w:r>
    </w:p>
    <w:p w:rsidR="003059A9" w:rsidRPr="00997D7E" w:rsidRDefault="00DC5E86">
      <w:pPr>
        <w:rPr>
          <w:rFonts w:ascii="Arial" w:hAnsi="Arial" w:cs="Arial"/>
          <w:sz w:val="24"/>
          <w:szCs w:val="24"/>
        </w:rPr>
      </w:pPr>
      <w:r w:rsidRPr="00997D7E">
        <w:rPr>
          <w:rFonts w:ascii="Arial" w:hAnsi="Arial" w:cs="Arial"/>
          <w:b/>
          <w:sz w:val="24"/>
          <w:szCs w:val="24"/>
        </w:rPr>
        <w:lastRenderedPageBreak/>
        <w:t>Key Activities</w:t>
      </w:r>
      <w:proofErr w:type="gramStart"/>
      <w:r w:rsidRPr="00997D7E">
        <w:rPr>
          <w:rFonts w:ascii="Arial" w:hAnsi="Arial" w:cs="Arial"/>
          <w:b/>
          <w:sz w:val="24"/>
          <w:szCs w:val="24"/>
        </w:rPr>
        <w:t>:</w:t>
      </w:r>
      <w:proofErr w:type="gramEnd"/>
      <w:r w:rsidRPr="00997D7E">
        <w:rPr>
          <w:rFonts w:ascii="Arial" w:hAnsi="Arial" w:cs="Arial"/>
          <w:b/>
          <w:sz w:val="24"/>
          <w:szCs w:val="24"/>
        </w:rPr>
        <w:br/>
      </w:r>
      <w:r w:rsidRPr="00997D7E">
        <w:rPr>
          <w:rFonts w:ascii="Arial" w:hAnsi="Arial" w:cs="Arial"/>
          <w:sz w:val="24"/>
          <w:szCs w:val="24"/>
        </w:rPr>
        <w:t>1. Language center establishment.</w:t>
      </w:r>
      <w:r w:rsidRPr="00997D7E">
        <w:rPr>
          <w:rFonts w:ascii="Arial" w:hAnsi="Arial" w:cs="Arial"/>
          <w:sz w:val="24"/>
          <w:szCs w:val="24"/>
        </w:rPr>
        <w:br/>
        <w:t>2. International festivals.</w:t>
      </w:r>
      <w:r w:rsidRPr="00997D7E">
        <w:rPr>
          <w:rFonts w:ascii="Arial" w:hAnsi="Arial" w:cs="Arial"/>
          <w:sz w:val="24"/>
          <w:szCs w:val="24"/>
        </w:rPr>
        <w:br/>
        <w:t>3. Integration of culture in student activities.</w:t>
      </w:r>
      <w:r w:rsidRPr="00997D7E">
        <w:rPr>
          <w:rFonts w:ascii="Arial" w:hAnsi="Arial" w:cs="Arial"/>
          <w:sz w:val="24"/>
          <w:szCs w:val="24"/>
        </w:rPr>
        <w:br/>
        <w:t>4. Faculty/staff intercultural training.</w:t>
      </w:r>
      <w:r w:rsidRPr="00997D7E">
        <w:rPr>
          <w:rFonts w:ascii="Arial" w:hAnsi="Arial" w:cs="Arial"/>
          <w:sz w:val="24"/>
          <w:szCs w:val="24"/>
        </w:rPr>
        <w:br/>
        <w:t>5. Buddy system for international students.</w:t>
      </w:r>
    </w:p>
    <w:p w:rsidR="003059A9" w:rsidRPr="00997D7E" w:rsidRDefault="00DC5E86">
      <w:pPr>
        <w:rPr>
          <w:rFonts w:ascii="Arial" w:hAnsi="Arial" w:cs="Arial"/>
          <w:sz w:val="24"/>
          <w:szCs w:val="24"/>
        </w:rPr>
      </w:pPr>
      <w:r w:rsidRPr="00997D7E">
        <w:rPr>
          <w:rFonts w:ascii="Arial" w:hAnsi="Arial" w:cs="Arial"/>
          <w:sz w:val="24"/>
          <w:szCs w:val="24"/>
        </w:rPr>
        <w:t>Responsible Offices: OIA, Student Affairs, Cultural Affairs Office, Colleges.</w:t>
      </w:r>
    </w:p>
    <w:p w:rsidR="003059A9" w:rsidRPr="00997D7E" w:rsidRDefault="00DC5E86">
      <w:pPr>
        <w:rPr>
          <w:rFonts w:ascii="Arial" w:hAnsi="Arial" w:cs="Arial"/>
          <w:sz w:val="24"/>
          <w:szCs w:val="24"/>
        </w:rPr>
      </w:pPr>
      <w:r w:rsidRPr="00997D7E">
        <w:rPr>
          <w:rFonts w:ascii="Arial" w:hAnsi="Arial" w:cs="Arial"/>
          <w:b/>
          <w:sz w:val="24"/>
          <w:szCs w:val="24"/>
        </w:rPr>
        <w:t>Procedures</w:t>
      </w:r>
      <w:proofErr w:type="gramStart"/>
      <w:r w:rsidRPr="00997D7E">
        <w:rPr>
          <w:rFonts w:ascii="Arial" w:hAnsi="Arial" w:cs="Arial"/>
          <w:b/>
          <w:sz w:val="24"/>
          <w:szCs w:val="24"/>
        </w:rPr>
        <w:t>:</w:t>
      </w:r>
      <w:proofErr w:type="gramEnd"/>
      <w:r w:rsidRPr="00997D7E">
        <w:rPr>
          <w:rFonts w:ascii="Arial" w:hAnsi="Arial" w:cs="Arial"/>
          <w:b/>
          <w:sz w:val="24"/>
          <w:szCs w:val="24"/>
        </w:rPr>
        <w:br/>
      </w:r>
      <w:r w:rsidRPr="00997D7E">
        <w:rPr>
          <w:rFonts w:ascii="Arial" w:hAnsi="Arial" w:cs="Arial"/>
          <w:sz w:val="24"/>
          <w:szCs w:val="24"/>
        </w:rPr>
        <w:t>- Language program design → Hiring of experts → Rollout.</w:t>
      </w:r>
      <w:r w:rsidRPr="00997D7E">
        <w:rPr>
          <w:rFonts w:ascii="Arial" w:hAnsi="Arial" w:cs="Arial"/>
          <w:sz w:val="24"/>
          <w:szCs w:val="24"/>
        </w:rPr>
        <w:br/>
        <w:t>- Cultural events: Coordination with embassies, consulates, student orgs → Execution → Documentation.</w:t>
      </w:r>
    </w:p>
    <w:p w:rsidR="003059A9" w:rsidRPr="00997D7E" w:rsidRDefault="00DC5E86">
      <w:pPr>
        <w:rPr>
          <w:rFonts w:ascii="Arial" w:hAnsi="Arial" w:cs="Arial"/>
          <w:sz w:val="24"/>
          <w:szCs w:val="24"/>
        </w:rPr>
      </w:pPr>
      <w:r w:rsidRPr="00997D7E">
        <w:rPr>
          <w:rFonts w:ascii="Arial" w:hAnsi="Arial" w:cs="Arial"/>
          <w:b/>
          <w:sz w:val="24"/>
          <w:szCs w:val="24"/>
        </w:rPr>
        <w:t>Monitoring Indicators</w:t>
      </w:r>
      <w:proofErr w:type="gramStart"/>
      <w:r w:rsidRPr="00997D7E">
        <w:rPr>
          <w:rFonts w:ascii="Arial" w:hAnsi="Arial" w:cs="Arial"/>
          <w:b/>
          <w:sz w:val="24"/>
          <w:szCs w:val="24"/>
        </w:rPr>
        <w:t>:</w:t>
      </w:r>
      <w:proofErr w:type="gramEnd"/>
      <w:r w:rsidRPr="00997D7E">
        <w:rPr>
          <w:rFonts w:ascii="Arial" w:hAnsi="Arial" w:cs="Arial"/>
          <w:b/>
          <w:sz w:val="24"/>
          <w:szCs w:val="24"/>
        </w:rPr>
        <w:br/>
      </w:r>
      <w:r w:rsidRPr="00997D7E">
        <w:rPr>
          <w:rFonts w:ascii="Arial" w:hAnsi="Arial" w:cs="Arial"/>
          <w:sz w:val="24"/>
          <w:szCs w:val="24"/>
        </w:rPr>
        <w:t>- Number of cultural programs.</w:t>
      </w:r>
      <w:r w:rsidRPr="00997D7E">
        <w:rPr>
          <w:rFonts w:ascii="Arial" w:hAnsi="Arial" w:cs="Arial"/>
          <w:sz w:val="24"/>
          <w:szCs w:val="24"/>
        </w:rPr>
        <w:br/>
        <w:t>- Language courses offered.</w:t>
      </w:r>
      <w:r w:rsidRPr="00997D7E">
        <w:rPr>
          <w:rFonts w:ascii="Arial" w:hAnsi="Arial" w:cs="Arial"/>
          <w:sz w:val="24"/>
          <w:szCs w:val="24"/>
        </w:rPr>
        <w:br/>
        <w:t>- Percentage of student/faculty participation.</w:t>
      </w:r>
    </w:p>
    <w:p w:rsidR="003059A9" w:rsidRPr="00997D7E" w:rsidRDefault="00DC5E86">
      <w:pPr>
        <w:pStyle w:val="Heading1"/>
        <w:rPr>
          <w:rFonts w:ascii="Arial" w:hAnsi="Arial" w:cs="Arial"/>
          <w:color w:val="auto"/>
          <w:sz w:val="24"/>
          <w:szCs w:val="24"/>
        </w:rPr>
      </w:pPr>
      <w:r w:rsidRPr="00997D7E">
        <w:rPr>
          <w:rFonts w:ascii="Arial" w:hAnsi="Arial" w:cs="Arial"/>
          <w:color w:val="auto"/>
          <w:sz w:val="24"/>
          <w:szCs w:val="24"/>
        </w:rPr>
        <w:t>VI. Risk Management</w:t>
      </w:r>
    </w:p>
    <w:p w:rsidR="00997D7E" w:rsidRPr="00997D7E" w:rsidRDefault="00997D7E" w:rsidP="00997D7E"/>
    <w:p w:rsidR="003059A9" w:rsidRPr="00997D7E" w:rsidRDefault="00DC5E86">
      <w:pPr>
        <w:rPr>
          <w:rFonts w:ascii="Arial" w:hAnsi="Arial" w:cs="Arial"/>
          <w:sz w:val="24"/>
          <w:szCs w:val="24"/>
        </w:rPr>
      </w:pPr>
      <w:r w:rsidRPr="00997D7E">
        <w:rPr>
          <w:rFonts w:ascii="Arial" w:hAnsi="Arial" w:cs="Arial"/>
          <w:sz w:val="24"/>
          <w:szCs w:val="24"/>
        </w:rPr>
        <w:t>- Legal Risks: All contracts vetted by legal office.</w:t>
      </w:r>
      <w:r w:rsidRPr="00997D7E">
        <w:rPr>
          <w:rFonts w:ascii="Arial" w:hAnsi="Arial" w:cs="Arial"/>
          <w:sz w:val="24"/>
          <w:szCs w:val="24"/>
        </w:rPr>
        <w:br/>
        <w:t>- Cultural Adjustment: Pre-departure and arrival orientation.</w:t>
      </w:r>
      <w:r w:rsidRPr="00997D7E">
        <w:rPr>
          <w:rFonts w:ascii="Arial" w:hAnsi="Arial" w:cs="Arial"/>
          <w:sz w:val="24"/>
          <w:szCs w:val="24"/>
        </w:rPr>
        <w:br/>
        <w:t>- Financial Risks: Diversify funding sources.</w:t>
      </w:r>
      <w:r w:rsidRPr="00997D7E">
        <w:rPr>
          <w:rFonts w:ascii="Arial" w:hAnsi="Arial" w:cs="Arial"/>
          <w:sz w:val="24"/>
          <w:szCs w:val="24"/>
        </w:rPr>
        <w:br/>
        <w:t>- Safety and Security: Emergency protocols abroad.</w:t>
      </w:r>
    </w:p>
    <w:p w:rsidR="003059A9" w:rsidRPr="00997D7E" w:rsidRDefault="00DC5E86">
      <w:pPr>
        <w:pStyle w:val="Heading1"/>
        <w:rPr>
          <w:rFonts w:ascii="Arial" w:hAnsi="Arial" w:cs="Arial"/>
          <w:color w:val="auto"/>
          <w:sz w:val="24"/>
          <w:szCs w:val="24"/>
        </w:rPr>
      </w:pPr>
      <w:r w:rsidRPr="00997D7E">
        <w:rPr>
          <w:rFonts w:ascii="Arial" w:hAnsi="Arial" w:cs="Arial"/>
          <w:color w:val="auto"/>
          <w:sz w:val="24"/>
          <w:szCs w:val="24"/>
        </w:rPr>
        <w:t>VII. Communication and Promotion</w:t>
      </w:r>
    </w:p>
    <w:p w:rsidR="003059A9" w:rsidRPr="00997D7E" w:rsidRDefault="00DC5E86">
      <w:pPr>
        <w:rPr>
          <w:rFonts w:ascii="Arial" w:hAnsi="Arial" w:cs="Arial"/>
          <w:sz w:val="24"/>
          <w:szCs w:val="24"/>
        </w:rPr>
      </w:pPr>
      <w:r w:rsidRPr="00997D7E">
        <w:rPr>
          <w:rFonts w:ascii="Arial" w:hAnsi="Arial" w:cs="Arial"/>
          <w:sz w:val="24"/>
          <w:szCs w:val="24"/>
        </w:rPr>
        <w:t>- Internationalization portal, website, and newsletters.</w:t>
      </w:r>
      <w:r w:rsidRPr="00997D7E">
        <w:rPr>
          <w:rFonts w:ascii="Arial" w:hAnsi="Arial" w:cs="Arial"/>
          <w:sz w:val="24"/>
          <w:szCs w:val="24"/>
        </w:rPr>
        <w:br/>
        <w:t>- Social media promotion.</w:t>
      </w:r>
      <w:r w:rsidRPr="00997D7E">
        <w:rPr>
          <w:rFonts w:ascii="Arial" w:hAnsi="Arial" w:cs="Arial"/>
          <w:sz w:val="24"/>
          <w:szCs w:val="24"/>
        </w:rPr>
        <w:br/>
        <w:t>- Alumni engagement for networking.</w:t>
      </w:r>
    </w:p>
    <w:p w:rsidR="003059A9" w:rsidRPr="00997D7E" w:rsidRDefault="00DC5E86">
      <w:pPr>
        <w:pStyle w:val="Heading1"/>
        <w:rPr>
          <w:rFonts w:ascii="Arial" w:hAnsi="Arial" w:cs="Arial"/>
          <w:sz w:val="24"/>
          <w:szCs w:val="24"/>
        </w:rPr>
      </w:pPr>
      <w:r w:rsidRPr="00997D7E">
        <w:rPr>
          <w:rFonts w:ascii="Arial" w:hAnsi="Arial" w:cs="Arial"/>
          <w:sz w:val="24"/>
          <w:szCs w:val="24"/>
        </w:rPr>
        <w:t>VIII. Review and Amendment</w:t>
      </w:r>
    </w:p>
    <w:p w:rsidR="003059A9" w:rsidRPr="00997D7E" w:rsidRDefault="00DC5E86">
      <w:pPr>
        <w:rPr>
          <w:rFonts w:ascii="Arial" w:hAnsi="Arial" w:cs="Arial"/>
          <w:sz w:val="24"/>
          <w:szCs w:val="24"/>
        </w:rPr>
      </w:pPr>
      <w:r w:rsidRPr="00997D7E">
        <w:rPr>
          <w:rFonts w:ascii="Arial" w:hAnsi="Arial" w:cs="Arial"/>
          <w:sz w:val="24"/>
          <w:szCs w:val="24"/>
        </w:rPr>
        <w:t>This Manual shall be reviewed every three (3) years or as necessary to respond to emerging global trends and national policies.</w:t>
      </w:r>
    </w:p>
    <w:p w:rsidR="003059A9" w:rsidRPr="00997D7E" w:rsidRDefault="00DC5E86">
      <w:pPr>
        <w:pStyle w:val="Heading1"/>
        <w:rPr>
          <w:rFonts w:ascii="Arial" w:hAnsi="Arial" w:cs="Arial"/>
          <w:color w:val="auto"/>
          <w:sz w:val="24"/>
          <w:szCs w:val="24"/>
        </w:rPr>
      </w:pPr>
      <w:r w:rsidRPr="00997D7E">
        <w:rPr>
          <w:rFonts w:ascii="Arial" w:hAnsi="Arial" w:cs="Arial"/>
          <w:color w:val="auto"/>
          <w:sz w:val="24"/>
          <w:szCs w:val="24"/>
        </w:rPr>
        <w:t>IX. Effectivity</w:t>
      </w:r>
    </w:p>
    <w:p w:rsidR="003059A9" w:rsidRPr="00997D7E" w:rsidRDefault="00DC5E86">
      <w:pPr>
        <w:rPr>
          <w:rFonts w:ascii="Arial" w:hAnsi="Arial" w:cs="Arial"/>
          <w:sz w:val="24"/>
          <w:szCs w:val="24"/>
        </w:rPr>
      </w:pPr>
      <w:r w:rsidRPr="00997D7E">
        <w:rPr>
          <w:rFonts w:ascii="Arial" w:hAnsi="Arial" w:cs="Arial"/>
          <w:sz w:val="24"/>
          <w:szCs w:val="24"/>
        </w:rPr>
        <w:t xml:space="preserve">This Manual shall take effect upon approval by the Board of Regents of </w:t>
      </w:r>
      <w:r w:rsidR="00997D7E">
        <w:rPr>
          <w:rFonts w:ascii="Arial" w:hAnsi="Arial" w:cs="Arial"/>
          <w:sz w:val="24"/>
          <w:szCs w:val="24"/>
        </w:rPr>
        <w:t>the University of Southern Mindanao</w:t>
      </w:r>
      <w:r w:rsidRPr="00997D7E">
        <w:rPr>
          <w:rFonts w:ascii="Arial" w:hAnsi="Arial" w:cs="Arial"/>
          <w:sz w:val="24"/>
          <w:szCs w:val="24"/>
        </w:rPr>
        <w:t>.</w:t>
      </w:r>
    </w:p>
    <w:p w:rsidR="00B00285" w:rsidRPr="00997D7E" w:rsidRDefault="00B00285" w:rsidP="00997D7E">
      <w:pPr>
        <w:jc w:val="center"/>
        <w:rPr>
          <w:rFonts w:ascii="Arial" w:hAnsi="Arial" w:cs="Arial"/>
          <w:b/>
          <w:sz w:val="24"/>
          <w:szCs w:val="24"/>
        </w:rPr>
      </w:pPr>
      <w:r w:rsidRPr="00997D7E">
        <w:rPr>
          <w:rFonts w:ascii="Arial" w:hAnsi="Arial" w:cs="Arial"/>
          <w:b/>
          <w:sz w:val="24"/>
          <w:szCs w:val="24"/>
        </w:rPr>
        <w:lastRenderedPageBreak/>
        <w:t>Appendices</w:t>
      </w:r>
    </w:p>
    <w:p w:rsidR="00997D7E" w:rsidRPr="00997D7E" w:rsidRDefault="00997D7E" w:rsidP="00997D7E">
      <w:pPr>
        <w:pStyle w:val="Heading1"/>
        <w:rPr>
          <w:rFonts w:ascii="Arial" w:hAnsi="Arial" w:cs="Arial"/>
          <w:color w:val="auto"/>
          <w:sz w:val="24"/>
          <w:szCs w:val="24"/>
        </w:rPr>
      </w:pPr>
      <w:r w:rsidRPr="00997D7E">
        <w:rPr>
          <w:rFonts w:ascii="Arial" w:hAnsi="Arial" w:cs="Arial"/>
          <w:color w:val="auto"/>
          <w:sz w:val="24"/>
          <w:szCs w:val="24"/>
        </w:rPr>
        <w:t>Appendix 1. Mechanism for Evaluating Linkages</w:t>
      </w:r>
    </w:p>
    <w:p w:rsidR="00997D7E" w:rsidRPr="00997D7E" w:rsidRDefault="00997D7E" w:rsidP="00997D7E">
      <w:pPr>
        <w:rPr>
          <w:rFonts w:ascii="Arial" w:hAnsi="Arial" w:cs="Arial"/>
          <w:sz w:val="24"/>
          <w:szCs w:val="24"/>
        </w:rPr>
      </w:pPr>
    </w:p>
    <w:p w:rsidR="00B00285" w:rsidRPr="00997D7E" w:rsidRDefault="00B00285" w:rsidP="00997D7E">
      <w:pPr>
        <w:jc w:val="both"/>
        <w:rPr>
          <w:rFonts w:ascii="Arial" w:hAnsi="Arial" w:cs="Arial"/>
          <w:sz w:val="24"/>
          <w:szCs w:val="24"/>
        </w:rPr>
      </w:pPr>
      <w:r w:rsidRPr="00997D7E">
        <w:rPr>
          <w:rFonts w:ascii="Arial" w:hAnsi="Arial" w:cs="Arial"/>
          <w:sz w:val="24"/>
          <w:szCs w:val="24"/>
        </w:rPr>
        <w:t>To ensure that institutional linkages remain relevant, effective, and sustainable, an evaluation mechanism shall be developed and institutionalized. This mechanism will objectively determine whether the objectives of the partnership are attained and shall guide decisions on renewal, modification, or termination of the linkages</w:t>
      </w:r>
      <w:r w:rsidR="00997D7E">
        <w:rPr>
          <w:rFonts w:ascii="Arial" w:hAnsi="Arial" w:cs="Arial"/>
          <w:sz w:val="24"/>
          <w:szCs w:val="24"/>
        </w:rPr>
        <w:t>.</w:t>
      </w:r>
      <w:r w:rsidRPr="00997D7E">
        <w:rPr>
          <w:rFonts w:ascii="Arial" w:hAnsi="Arial" w:cs="Arial"/>
          <w:sz w:val="24"/>
          <w:szCs w:val="24"/>
        </w:rPr>
        <w:t xml:space="preserve"> </w:t>
      </w:r>
    </w:p>
    <w:p w:rsidR="00B00285" w:rsidRDefault="00B00285" w:rsidP="00B00285">
      <w:pPr>
        <w:pStyle w:val="Heading2"/>
        <w:rPr>
          <w:rFonts w:ascii="Arial" w:hAnsi="Arial" w:cs="Arial"/>
          <w:color w:val="auto"/>
          <w:sz w:val="24"/>
          <w:szCs w:val="24"/>
        </w:rPr>
      </w:pPr>
      <w:r w:rsidRPr="00997D7E">
        <w:rPr>
          <w:rFonts w:ascii="Arial" w:hAnsi="Arial" w:cs="Arial"/>
          <w:color w:val="auto"/>
          <w:sz w:val="24"/>
          <w:szCs w:val="24"/>
        </w:rPr>
        <w:t>I. Evaluation Objectives</w:t>
      </w:r>
    </w:p>
    <w:p w:rsidR="00997D7E" w:rsidRPr="00997D7E" w:rsidRDefault="00997D7E" w:rsidP="00997D7E"/>
    <w:p w:rsidR="00B00285" w:rsidRPr="00997D7E" w:rsidRDefault="00B00285" w:rsidP="00B00285">
      <w:pPr>
        <w:rPr>
          <w:rFonts w:ascii="Arial" w:hAnsi="Arial" w:cs="Arial"/>
          <w:sz w:val="24"/>
          <w:szCs w:val="24"/>
        </w:rPr>
      </w:pPr>
      <w:r w:rsidRPr="00997D7E">
        <w:rPr>
          <w:rFonts w:ascii="Arial" w:hAnsi="Arial" w:cs="Arial"/>
          <w:sz w:val="24"/>
          <w:szCs w:val="24"/>
        </w:rPr>
        <w:t>- To assess the extent to which the objectives of the linkage/consortium have been achieved.</w:t>
      </w:r>
      <w:r w:rsidRPr="00997D7E">
        <w:rPr>
          <w:rFonts w:ascii="Arial" w:hAnsi="Arial" w:cs="Arial"/>
          <w:sz w:val="24"/>
          <w:szCs w:val="24"/>
        </w:rPr>
        <w:br/>
        <w:t>- To measure the benefits gained by all partner institutions and stakeholders.</w:t>
      </w:r>
      <w:r w:rsidRPr="00997D7E">
        <w:rPr>
          <w:rFonts w:ascii="Arial" w:hAnsi="Arial" w:cs="Arial"/>
          <w:sz w:val="24"/>
          <w:szCs w:val="24"/>
        </w:rPr>
        <w:br/>
        <w:t>- To identify strengths, gaps, and areas for improvement in the partnership.</w:t>
      </w:r>
      <w:r w:rsidRPr="00997D7E">
        <w:rPr>
          <w:rFonts w:ascii="Arial" w:hAnsi="Arial" w:cs="Arial"/>
          <w:sz w:val="24"/>
          <w:szCs w:val="24"/>
        </w:rPr>
        <w:br/>
        <w:t>- To provide evidence-based recommendations for renewal or discontinuation.</w:t>
      </w:r>
      <w:r w:rsidRPr="00997D7E">
        <w:rPr>
          <w:rFonts w:ascii="Arial" w:hAnsi="Arial" w:cs="Arial"/>
          <w:sz w:val="24"/>
          <w:szCs w:val="24"/>
        </w:rPr>
        <w:br/>
      </w:r>
    </w:p>
    <w:p w:rsidR="00B00285" w:rsidRDefault="00B00285" w:rsidP="00B00285">
      <w:pPr>
        <w:pStyle w:val="Heading2"/>
        <w:rPr>
          <w:rFonts w:ascii="Arial" w:hAnsi="Arial" w:cs="Arial"/>
          <w:color w:val="auto"/>
          <w:sz w:val="24"/>
          <w:szCs w:val="24"/>
        </w:rPr>
      </w:pPr>
      <w:r w:rsidRPr="00997D7E">
        <w:rPr>
          <w:rFonts w:ascii="Arial" w:hAnsi="Arial" w:cs="Arial"/>
          <w:color w:val="auto"/>
          <w:sz w:val="24"/>
          <w:szCs w:val="24"/>
        </w:rPr>
        <w:t>II. Evaluation Framework</w:t>
      </w:r>
    </w:p>
    <w:p w:rsidR="00997D7E" w:rsidRPr="00997D7E" w:rsidRDefault="00997D7E" w:rsidP="00997D7E"/>
    <w:p w:rsidR="00B00285" w:rsidRPr="00997D7E" w:rsidRDefault="00B00285" w:rsidP="00B00285">
      <w:pPr>
        <w:rPr>
          <w:rFonts w:ascii="Arial" w:hAnsi="Arial" w:cs="Arial"/>
          <w:sz w:val="24"/>
          <w:szCs w:val="24"/>
        </w:rPr>
      </w:pPr>
      <w:r w:rsidRPr="00997D7E">
        <w:rPr>
          <w:rFonts w:ascii="Arial" w:hAnsi="Arial" w:cs="Arial"/>
          <w:sz w:val="24"/>
          <w:szCs w:val="24"/>
        </w:rPr>
        <w:t>The evaluation will adopt a Results-Based Monitoring and Evaluation (RBME) framework, focusing on inputs, processes, outputs, outcomes, and impacts.</w:t>
      </w:r>
    </w:p>
    <w:p w:rsidR="00B00285" w:rsidRDefault="00B00285" w:rsidP="00B00285">
      <w:pPr>
        <w:pStyle w:val="Heading2"/>
        <w:rPr>
          <w:rFonts w:ascii="Arial" w:hAnsi="Arial" w:cs="Arial"/>
          <w:color w:val="auto"/>
          <w:sz w:val="24"/>
          <w:szCs w:val="24"/>
        </w:rPr>
      </w:pPr>
      <w:r w:rsidRPr="00997D7E">
        <w:rPr>
          <w:rFonts w:ascii="Arial" w:hAnsi="Arial" w:cs="Arial"/>
          <w:color w:val="auto"/>
          <w:sz w:val="24"/>
          <w:szCs w:val="24"/>
        </w:rPr>
        <w:t>III. Indicators of Success</w:t>
      </w:r>
    </w:p>
    <w:p w:rsidR="00997D7E" w:rsidRPr="00997D7E" w:rsidRDefault="00997D7E" w:rsidP="00997D7E"/>
    <w:p w:rsidR="00B00285" w:rsidRPr="00997D7E" w:rsidRDefault="00B00285" w:rsidP="00B00285">
      <w:pPr>
        <w:rPr>
          <w:rFonts w:ascii="Arial" w:hAnsi="Arial" w:cs="Arial"/>
          <w:sz w:val="24"/>
          <w:szCs w:val="24"/>
        </w:rPr>
      </w:pPr>
      <w:r w:rsidRPr="00997D7E">
        <w:rPr>
          <w:rFonts w:ascii="Arial" w:hAnsi="Arial" w:cs="Arial"/>
          <w:sz w:val="24"/>
          <w:szCs w:val="24"/>
        </w:rPr>
        <w:t>Indicators shall be developed based on the objectives of each specific linkage or consortium. These may include:</w:t>
      </w:r>
    </w:p>
    <w:p w:rsidR="00B00285" w:rsidRPr="00997D7E" w:rsidRDefault="00B00285" w:rsidP="00B00285">
      <w:pPr>
        <w:rPr>
          <w:rFonts w:ascii="Arial" w:hAnsi="Arial" w:cs="Arial"/>
          <w:sz w:val="24"/>
          <w:szCs w:val="24"/>
        </w:rPr>
      </w:pPr>
      <w:r w:rsidRPr="00997D7E">
        <w:rPr>
          <w:rFonts w:ascii="Arial" w:hAnsi="Arial" w:cs="Arial"/>
          <w:sz w:val="24"/>
          <w:szCs w:val="24"/>
        </w:rPr>
        <w:t>Quantitative Indicators</w:t>
      </w:r>
      <w:proofErr w:type="gramStart"/>
      <w:r w:rsidRPr="00997D7E">
        <w:rPr>
          <w:rFonts w:ascii="Arial" w:hAnsi="Arial" w:cs="Arial"/>
          <w:sz w:val="24"/>
          <w:szCs w:val="24"/>
        </w:rPr>
        <w:t>:</w:t>
      </w:r>
      <w:proofErr w:type="gramEnd"/>
      <w:r w:rsidRPr="00997D7E">
        <w:rPr>
          <w:rFonts w:ascii="Arial" w:hAnsi="Arial" w:cs="Arial"/>
          <w:sz w:val="24"/>
          <w:szCs w:val="24"/>
        </w:rPr>
        <w:br/>
        <w:t>- Number of joint activities completed vs. planned.</w:t>
      </w:r>
      <w:r w:rsidRPr="00997D7E">
        <w:rPr>
          <w:rFonts w:ascii="Arial" w:hAnsi="Arial" w:cs="Arial"/>
          <w:sz w:val="24"/>
          <w:szCs w:val="24"/>
        </w:rPr>
        <w:br/>
        <w:t xml:space="preserve">- Number of beneficiaries served (students, faculty, </w:t>
      </w:r>
      <w:proofErr w:type="gramStart"/>
      <w:r w:rsidRPr="00997D7E">
        <w:rPr>
          <w:rFonts w:ascii="Arial" w:hAnsi="Arial" w:cs="Arial"/>
          <w:sz w:val="24"/>
          <w:szCs w:val="24"/>
        </w:rPr>
        <w:t>community</w:t>
      </w:r>
      <w:proofErr w:type="gramEnd"/>
      <w:r w:rsidRPr="00997D7E">
        <w:rPr>
          <w:rFonts w:ascii="Arial" w:hAnsi="Arial" w:cs="Arial"/>
          <w:sz w:val="24"/>
          <w:szCs w:val="24"/>
        </w:rPr>
        <w:t xml:space="preserve"> stakeholders).</w:t>
      </w:r>
      <w:r w:rsidRPr="00997D7E">
        <w:rPr>
          <w:rFonts w:ascii="Arial" w:hAnsi="Arial" w:cs="Arial"/>
          <w:sz w:val="24"/>
          <w:szCs w:val="24"/>
        </w:rPr>
        <w:br/>
        <w:t>- Research outputs, publications, patents, or technologies generated.</w:t>
      </w:r>
      <w:r w:rsidRPr="00997D7E">
        <w:rPr>
          <w:rFonts w:ascii="Arial" w:hAnsi="Arial" w:cs="Arial"/>
          <w:sz w:val="24"/>
          <w:szCs w:val="24"/>
        </w:rPr>
        <w:br/>
        <w:t>- Resources mobilized (funding, facilities, expertise).</w:t>
      </w:r>
    </w:p>
    <w:p w:rsidR="00B00285" w:rsidRPr="00997D7E" w:rsidRDefault="00B00285" w:rsidP="00B00285">
      <w:pPr>
        <w:rPr>
          <w:rFonts w:ascii="Arial" w:hAnsi="Arial" w:cs="Arial"/>
          <w:sz w:val="24"/>
          <w:szCs w:val="24"/>
        </w:rPr>
      </w:pPr>
      <w:r w:rsidRPr="00997D7E">
        <w:rPr>
          <w:rFonts w:ascii="Arial" w:hAnsi="Arial" w:cs="Arial"/>
          <w:sz w:val="24"/>
          <w:szCs w:val="24"/>
        </w:rPr>
        <w:t>Qualitative Indicators</w:t>
      </w:r>
      <w:proofErr w:type="gramStart"/>
      <w:r w:rsidRPr="00997D7E">
        <w:rPr>
          <w:rFonts w:ascii="Arial" w:hAnsi="Arial" w:cs="Arial"/>
          <w:sz w:val="24"/>
          <w:szCs w:val="24"/>
        </w:rPr>
        <w:t>:</w:t>
      </w:r>
      <w:proofErr w:type="gramEnd"/>
      <w:r w:rsidRPr="00997D7E">
        <w:rPr>
          <w:rFonts w:ascii="Arial" w:hAnsi="Arial" w:cs="Arial"/>
          <w:sz w:val="24"/>
          <w:szCs w:val="24"/>
        </w:rPr>
        <w:br/>
        <w:t>- Stakeholder satisfaction (measured through surveys, FGDs, interviews).</w:t>
      </w:r>
      <w:r w:rsidRPr="00997D7E">
        <w:rPr>
          <w:rFonts w:ascii="Arial" w:hAnsi="Arial" w:cs="Arial"/>
          <w:sz w:val="24"/>
          <w:szCs w:val="24"/>
        </w:rPr>
        <w:br/>
        <w:t>- Quality of collaboration and communication among partners.</w:t>
      </w:r>
      <w:r w:rsidRPr="00997D7E">
        <w:rPr>
          <w:rFonts w:ascii="Arial" w:hAnsi="Arial" w:cs="Arial"/>
          <w:sz w:val="24"/>
          <w:szCs w:val="24"/>
        </w:rPr>
        <w:br/>
        <w:t>- Relevance of activities to institutional mandates and community needs.</w:t>
      </w:r>
      <w:r w:rsidRPr="00997D7E">
        <w:rPr>
          <w:rFonts w:ascii="Arial" w:hAnsi="Arial" w:cs="Arial"/>
          <w:sz w:val="24"/>
          <w:szCs w:val="24"/>
        </w:rPr>
        <w:br/>
        <w:t>- Perceived sustainability of initiatives beyond the partnership.</w:t>
      </w:r>
    </w:p>
    <w:p w:rsidR="00B00285" w:rsidRDefault="00B00285" w:rsidP="00B00285">
      <w:pPr>
        <w:pStyle w:val="Heading2"/>
        <w:rPr>
          <w:rFonts w:ascii="Arial" w:hAnsi="Arial" w:cs="Arial"/>
          <w:color w:val="auto"/>
          <w:sz w:val="24"/>
          <w:szCs w:val="24"/>
        </w:rPr>
      </w:pPr>
      <w:r w:rsidRPr="00997D7E">
        <w:rPr>
          <w:rFonts w:ascii="Arial" w:hAnsi="Arial" w:cs="Arial"/>
          <w:color w:val="auto"/>
          <w:sz w:val="24"/>
          <w:szCs w:val="24"/>
        </w:rPr>
        <w:lastRenderedPageBreak/>
        <w:t>IV. Evaluation Tools and Methods</w:t>
      </w:r>
    </w:p>
    <w:p w:rsidR="00997D7E" w:rsidRPr="00997D7E" w:rsidRDefault="00997D7E" w:rsidP="00997D7E"/>
    <w:p w:rsidR="00B00285" w:rsidRPr="00997D7E" w:rsidRDefault="00B00285" w:rsidP="00B00285">
      <w:pPr>
        <w:rPr>
          <w:rFonts w:ascii="Arial" w:hAnsi="Arial" w:cs="Arial"/>
          <w:sz w:val="24"/>
          <w:szCs w:val="24"/>
        </w:rPr>
      </w:pPr>
      <w:r w:rsidRPr="00997D7E">
        <w:rPr>
          <w:rFonts w:ascii="Arial" w:hAnsi="Arial" w:cs="Arial"/>
          <w:sz w:val="24"/>
          <w:szCs w:val="24"/>
        </w:rPr>
        <w:t>- Surveys and Questionnaires administered to faculty, students, and partner agencies.</w:t>
      </w:r>
      <w:r w:rsidRPr="00997D7E">
        <w:rPr>
          <w:rFonts w:ascii="Arial" w:hAnsi="Arial" w:cs="Arial"/>
          <w:sz w:val="24"/>
          <w:szCs w:val="24"/>
        </w:rPr>
        <w:br/>
        <w:t>- Key Informant Interviews (KIIs) with consortium leaders and partner representatives.</w:t>
      </w:r>
      <w:r w:rsidRPr="00997D7E">
        <w:rPr>
          <w:rFonts w:ascii="Arial" w:hAnsi="Arial" w:cs="Arial"/>
          <w:sz w:val="24"/>
          <w:szCs w:val="24"/>
        </w:rPr>
        <w:br/>
        <w:t>- Focus Group Discussions (FGDs) with stakeholders and beneficiaries.</w:t>
      </w:r>
      <w:r w:rsidRPr="00997D7E">
        <w:rPr>
          <w:rFonts w:ascii="Arial" w:hAnsi="Arial" w:cs="Arial"/>
          <w:sz w:val="24"/>
          <w:szCs w:val="24"/>
        </w:rPr>
        <w:br/>
        <w:t>- Document Review of MOAs, activity reports, financial reports, and terminal reports.</w:t>
      </w:r>
      <w:r w:rsidRPr="00997D7E">
        <w:rPr>
          <w:rFonts w:ascii="Arial" w:hAnsi="Arial" w:cs="Arial"/>
          <w:sz w:val="24"/>
          <w:szCs w:val="24"/>
        </w:rPr>
        <w:br/>
        <w:t>- Scoring Matrix/Rubric to provide an objective rating of performance against set criteria.</w:t>
      </w:r>
    </w:p>
    <w:p w:rsidR="00B00285" w:rsidRPr="00997D7E" w:rsidRDefault="00B00285" w:rsidP="00B00285">
      <w:pPr>
        <w:pStyle w:val="Heading2"/>
        <w:rPr>
          <w:rFonts w:ascii="Arial" w:hAnsi="Arial" w:cs="Arial"/>
          <w:color w:val="auto"/>
          <w:sz w:val="24"/>
          <w:szCs w:val="24"/>
        </w:rPr>
      </w:pPr>
      <w:r w:rsidRPr="00997D7E">
        <w:rPr>
          <w:rFonts w:ascii="Arial" w:hAnsi="Arial" w:cs="Arial"/>
          <w:color w:val="auto"/>
          <w:sz w:val="24"/>
          <w:szCs w:val="24"/>
        </w:rPr>
        <w:t>V. Evaluation Schedule</w:t>
      </w:r>
    </w:p>
    <w:p w:rsidR="00997D7E" w:rsidRPr="00997D7E" w:rsidRDefault="00997D7E" w:rsidP="00997D7E"/>
    <w:p w:rsidR="00B00285" w:rsidRPr="00997D7E" w:rsidRDefault="00B00285" w:rsidP="00997D7E">
      <w:pPr>
        <w:jc w:val="both"/>
        <w:rPr>
          <w:rFonts w:ascii="Arial" w:hAnsi="Arial" w:cs="Arial"/>
          <w:sz w:val="24"/>
          <w:szCs w:val="24"/>
        </w:rPr>
      </w:pPr>
      <w:r w:rsidRPr="00997D7E">
        <w:rPr>
          <w:rFonts w:ascii="Arial" w:hAnsi="Arial" w:cs="Arial"/>
          <w:sz w:val="24"/>
          <w:szCs w:val="24"/>
        </w:rPr>
        <w:t>- Mid-Term Evaluation: Conducted halfway through the linkage/consortium duration.</w:t>
      </w:r>
      <w:r w:rsidRPr="00997D7E">
        <w:rPr>
          <w:rFonts w:ascii="Arial" w:hAnsi="Arial" w:cs="Arial"/>
          <w:sz w:val="24"/>
          <w:szCs w:val="24"/>
        </w:rPr>
        <w:br/>
        <w:t>- Terminal Evaluation: Conducted at the end of the linkage/consortium term.</w:t>
      </w:r>
      <w:r w:rsidRPr="00997D7E">
        <w:rPr>
          <w:rFonts w:ascii="Arial" w:hAnsi="Arial" w:cs="Arial"/>
          <w:sz w:val="24"/>
          <w:szCs w:val="24"/>
        </w:rPr>
        <w:br/>
        <w:t>- Renewal Review: Based on the terminal evaluation results, with renewal only considered if at least 70–80% of objectives are attained and sustainability mechanisms are in place.</w:t>
      </w:r>
    </w:p>
    <w:p w:rsidR="00B00285" w:rsidRPr="00997D7E" w:rsidRDefault="00B00285" w:rsidP="00B00285">
      <w:pPr>
        <w:pStyle w:val="Heading2"/>
        <w:rPr>
          <w:rFonts w:ascii="Arial" w:hAnsi="Arial" w:cs="Arial"/>
          <w:color w:val="auto"/>
          <w:sz w:val="24"/>
          <w:szCs w:val="24"/>
        </w:rPr>
      </w:pPr>
      <w:r w:rsidRPr="00997D7E">
        <w:rPr>
          <w:rFonts w:ascii="Arial" w:hAnsi="Arial" w:cs="Arial"/>
          <w:color w:val="auto"/>
          <w:sz w:val="24"/>
          <w:szCs w:val="24"/>
        </w:rPr>
        <w:t>VI. Utilization of Results</w:t>
      </w:r>
    </w:p>
    <w:p w:rsidR="00997D7E" w:rsidRPr="00997D7E" w:rsidRDefault="00997D7E" w:rsidP="00997D7E"/>
    <w:p w:rsidR="00B00285" w:rsidRPr="00997D7E" w:rsidRDefault="00B00285" w:rsidP="00997D7E">
      <w:pPr>
        <w:jc w:val="both"/>
        <w:rPr>
          <w:rFonts w:ascii="Arial" w:hAnsi="Arial" w:cs="Arial"/>
          <w:sz w:val="24"/>
          <w:szCs w:val="24"/>
        </w:rPr>
      </w:pPr>
      <w:r w:rsidRPr="00997D7E">
        <w:rPr>
          <w:rFonts w:ascii="Arial" w:hAnsi="Arial" w:cs="Arial"/>
          <w:sz w:val="24"/>
          <w:szCs w:val="24"/>
        </w:rPr>
        <w:t>Results shall be documented in an Evaluation Report containing findings, strengths, weaknesses, and recommendations. The Evaluation Report shall be presented to all consortium members and approving authorities. The decision to renew, revise, or terminate the linkage/consortium shall be based on the evaluation results.</w:t>
      </w:r>
    </w:p>
    <w:p w:rsidR="00B00285" w:rsidRPr="00997D7E" w:rsidRDefault="00B00285" w:rsidP="00B00285">
      <w:pPr>
        <w:pStyle w:val="Heading2"/>
        <w:rPr>
          <w:rFonts w:ascii="Arial" w:hAnsi="Arial" w:cs="Arial"/>
          <w:color w:val="auto"/>
          <w:sz w:val="24"/>
          <w:szCs w:val="24"/>
        </w:rPr>
      </w:pPr>
      <w:r w:rsidRPr="00997D7E">
        <w:rPr>
          <w:rFonts w:ascii="Arial" w:hAnsi="Arial" w:cs="Arial"/>
          <w:color w:val="auto"/>
          <w:sz w:val="24"/>
          <w:szCs w:val="24"/>
        </w:rPr>
        <w:t>VII. Evaluation Matrix</w:t>
      </w:r>
    </w:p>
    <w:p w:rsidR="00997D7E" w:rsidRPr="00997D7E" w:rsidRDefault="00997D7E" w:rsidP="00997D7E"/>
    <w:tbl>
      <w:tblPr>
        <w:tblStyle w:val="TableGrid"/>
        <w:tblW w:w="0" w:type="auto"/>
        <w:tblLook w:val="04A0" w:firstRow="1" w:lastRow="0" w:firstColumn="1" w:lastColumn="0" w:noHBand="0" w:noVBand="1"/>
      </w:tblPr>
      <w:tblGrid>
        <w:gridCol w:w="1936"/>
        <w:gridCol w:w="2831"/>
        <w:gridCol w:w="2044"/>
        <w:gridCol w:w="1819"/>
      </w:tblGrid>
      <w:tr w:rsidR="00B00285" w:rsidRPr="00997D7E" w:rsidTr="001B368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Criteria</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Indicators</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Means of Verification</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Rating Scale</w:t>
            </w:r>
          </w:p>
        </w:tc>
      </w:tr>
      <w:tr w:rsidR="00B00285" w:rsidRPr="00997D7E" w:rsidTr="001B368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Input Assessment</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Adequacy of resources (funds, facilities, expertise) contributed by each partner</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MOAs, financial reports, resource sharing documents</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1–Poor, 2–Fair, 3–Good, 4–Very Good, 5–Excellent</w:t>
            </w:r>
          </w:p>
        </w:tc>
      </w:tr>
      <w:tr w:rsidR="00B00285" w:rsidRPr="00997D7E" w:rsidTr="001B368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Process Assessment</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 xml:space="preserve">Effectiveness of coordination, </w:t>
            </w:r>
            <w:r w:rsidRPr="00997D7E">
              <w:rPr>
                <w:rFonts w:ascii="Arial" w:hAnsi="Arial" w:cs="Arial"/>
                <w:sz w:val="24"/>
                <w:szCs w:val="24"/>
              </w:rPr>
              <w:lastRenderedPageBreak/>
              <w:t>communication, and governance structures</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lastRenderedPageBreak/>
              <w:t xml:space="preserve">Minutes of meetings, communication </w:t>
            </w:r>
            <w:r w:rsidRPr="00997D7E">
              <w:rPr>
                <w:rFonts w:ascii="Arial" w:hAnsi="Arial" w:cs="Arial"/>
                <w:sz w:val="24"/>
                <w:szCs w:val="24"/>
              </w:rPr>
              <w:lastRenderedPageBreak/>
              <w:t>records, organizational charts</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lastRenderedPageBreak/>
              <w:t xml:space="preserve">1–Poor, 2–Fair, 3–Good, </w:t>
            </w:r>
            <w:r w:rsidRPr="00997D7E">
              <w:rPr>
                <w:rFonts w:ascii="Arial" w:hAnsi="Arial" w:cs="Arial"/>
                <w:sz w:val="24"/>
                <w:szCs w:val="24"/>
              </w:rPr>
              <w:lastRenderedPageBreak/>
              <w:t>4–Very Good, 5–Excellent</w:t>
            </w:r>
          </w:p>
        </w:tc>
      </w:tr>
      <w:tr w:rsidR="00B00285" w:rsidRPr="00997D7E" w:rsidTr="001B368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lastRenderedPageBreak/>
              <w:t>Output Assessment</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Delivery of agreed activities (trainings, workshops, publications, etc.)</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Activity reports, attendance sheets, publications, modules</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1–Poor, 2–Fair, 3–Good, 4–Very Good, 5–Excellent</w:t>
            </w:r>
          </w:p>
        </w:tc>
      </w:tr>
      <w:tr w:rsidR="00B00285" w:rsidRPr="00997D7E" w:rsidTr="001B368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Outcome Assessment</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Short-term benefits (capacity building, knowledge transfer, innovations adopted)</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Evaluation surveys, FGD results, reflection papers</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1–Poor, 2–Fair, 3–Good, 4–Very Good, 5–Excellent</w:t>
            </w:r>
          </w:p>
        </w:tc>
      </w:tr>
      <w:tr w:rsidR="00B00285" w:rsidRPr="00997D7E" w:rsidTr="001B368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Impact Assessment</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Long-term benefits to institutions/communities; sustainability of initiatives</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Impact studies, tracer results, community feedback</w:t>
            </w:r>
          </w:p>
        </w:tc>
        <w:tc>
          <w:tcPr>
            <w:tcW w:w="2160" w:type="dxa"/>
          </w:tcPr>
          <w:p w:rsidR="00B00285" w:rsidRPr="00997D7E" w:rsidRDefault="00B00285" w:rsidP="001B368C">
            <w:pPr>
              <w:rPr>
                <w:rFonts w:ascii="Arial" w:hAnsi="Arial" w:cs="Arial"/>
                <w:sz w:val="24"/>
                <w:szCs w:val="24"/>
              </w:rPr>
            </w:pPr>
            <w:r w:rsidRPr="00997D7E">
              <w:rPr>
                <w:rFonts w:ascii="Arial" w:hAnsi="Arial" w:cs="Arial"/>
                <w:sz w:val="24"/>
                <w:szCs w:val="24"/>
              </w:rPr>
              <w:t>1–Poor, 2–Fair, 3–Good, 4–Very Good, 5–Excellent</w:t>
            </w:r>
          </w:p>
        </w:tc>
      </w:tr>
    </w:tbl>
    <w:p w:rsidR="00B00285" w:rsidRPr="00997D7E" w:rsidRDefault="00B00285" w:rsidP="00B00285">
      <w:pPr>
        <w:rPr>
          <w:rFonts w:ascii="Arial" w:hAnsi="Arial" w:cs="Arial"/>
          <w:sz w:val="24"/>
          <w:szCs w:val="24"/>
        </w:rPr>
      </w:pPr>
    </w:p>
    <w:p w:rsidR="00B00285" w:rsidRPr="00997D7E" w:rsidRDefault="00B00285">
      <w:pPr>
        <w:rPr>
          <w:rFonts w:ascii="Arial" w:hAnsi="Arial" w:cs="Arial"/>
          <w:sz w:val="24"/>
          <w:szCs w:val="24"/>
        </w:rPr>
      </w:pPr>
    </w:p>
    <w:sectPr w:rsidR="00B00285" w:rsidRPr="00997D7E"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AF1" w:rsidRDefault="005C6AF1" w:rsidP="00555F14">
      <w:pPr>
        <w:spacing w:after="0" w:line="240" w:lineRule="auto"/>
      </w:pPr>
      <w:r>
        <w:separator/>
      </w:r>
    </w:p>
  </w:endnote>
  <w:endnote w:type="continuationSeparator" w:id="0">
    <w:p w:rsidR="005C6AF1" w:rsidRDefault="005C6AF1" w:rsidP="0055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F14" w:rsidRDefault="00555F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F14" w:rsidRDefault="00555F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F14" w:rsidRDefault="00555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AF1" w:rsidRDefault="005C6AF1" w:rsidP="00555F14">
      <w:pPr>
        <w:spacing w:after="0" w:line="240" w:lineRule="auto"/>
      </w:pPr>
      <w:r>
        <w:separator/>
      </w:r>
    </w:p>
  </w:footnote>
  <w:footnote w:type="continuationSeparator" w:id="0">
    <w:p w:rsidR="005C6AF1" w:rsidRDefault="005C6AF1" w:rsidP="00555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F14" w:rsidRDefault="00555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275595"/>
      <w:docPartObj>
        <w:docPartGallery w:val="Watermarks"/>
        <w:docPartUnique/>
      </w:docPartObj>
    </w:sdtPr>
    <w:sdtEndPr/>
    <w:sdtContent>
      <w:p w:rsidR="00555F14" w:rsidRDefault="005C6A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F14" w:rsidRDefault="00555F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872D6"/>
    <w:rsid w:val="0029639D"/>
    <w:rsid w:val="003059A9"/>
    <w:rsid w:val="00326F90"/>
    <w:rsid w:val="00555F14"/>
    <w:rsid w:val="005C6AF1"/>
    <w:rsid w:val="00670692"/>
    <w:rsid w:val="00997D7E"/>
    <w:rsid w:val="00AA1D8D"/>
    <w:rsid w:val="00B00285"/>
    <w:rsid w:val="00B47730"/>
    <w:rsid w:val="00CB0664"/>
    <w:rsid w:val="00DC5E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15:docId w15:val="{3BB8C9EE-7D35-462D-9DAB-2BEFEDA6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A9200-06F3-4B8C-862B-9C32F95A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ACER</cp:lastModifiedBy>
  <cp:revision>2</cp:revision>
  <dcterms:created xsi:type="dcterms:W3CDTF">2025-09-01T11:01:00Z</dcterms:created>
  <dcterms:modified xsi:type="dcterms:W3CDTF">2025-09-01T11:01:00Z</dcterms:modified>
  <cp:category/>
</cp:coreProperties>
</file>